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5429" w:rsidR="00C85429" w:rsidP="00855CB0" w:rsidRDefault="00C85429" w14:paraId="2E10AD38" w14:textId="77777777">
      <w:pPr>
        <w:jc w:val="both"/>
        <w:rPr>
          <w:sz w:val="32"/>
          <w:szCs w:val="32"/>
          <w:lang w:val="en-US"/>
        </w:rPr>
      </w:pPr>
      <w:r w:rsidRPr="0B4F051A" w:rsidR="00C85429">
        <w:rPr>
          <w:b w:val="1"/>
          <w:bCs w:val="1"/>
          <w:sz w:val="32"/>
          <w:szCs w:val="32"/>
          <w:lang w:val="en-GB"/>
        </w:rPr>
        <w:t>Online pathways to health equity</w:t>
      </w:r>
      <w:r w:rsidRPr="0B4F051A" w:rsidR="00C85429">
        <w:rPr>
          <w:b w:val="1"/>
          <w:bCs w:val="1"/>
          <w:i w:val="1"/>
          <w:iCs w:val="1"/>
          <w:sz w:val="32"/>
          <w:szCs w:val="32"/>
          <w:lang w:val="en-GB"/>
        </w:rPr>
        <w:t>: digital health literacy in the EU’s Digital Education Plan</w:t>
      </w:r>
      <w:r w:rsidRPr="0B4F051A" w:rsidR="00C85429">
        <w:rPr>
          <w:sz w:val="32"/>
          <w:szCs w:val="32"/>
          <w:lang w:val="en-US"/>
        </w:rPr>
        <w:t> </w:t>
      </w:r>
    </w:p>
    <w:p w:rsidR="5093407D" w:rsidP="0B4F051A" w:rsidRDefault="5093407D" w14:paraId="1C050720" w14:textId="5964401C">
      <w:pPr>
        <w:jc w:val="both"/>
        <w:rPr>
          <w:sz w:val="32"/>
          <w:szCs w:val="32"/>
          <w:lang w:val="en-US"/>
        </w:rPr>
      </w:pPr>
      <w:r w:rsidRPr="0B4F051A" w:rsidR="5093407D">
        <w:rPr>
          <w:sz w:val="32"/>
          <w:szCs w:val="32"/>
          <w:lang w:val="en-US"/>
        </w:rPr>
        <w:t>Authored by: European Public Health Alliance</w:t>
      </w:r>
    </w:p>
    <w:p w:rsidRPr="00C85429" w:rsidR="00C85429" w:rsidP="7593FB96" w:rsidRDefault="00C85429" w14:paraId="50D1FBE8" w14:textId="49DEC15C">
      <w:pPr>
        <w:pStyle w:val="Normal"/>
        <w:jc w:val="both"/>
        <w:rPr>
          <w:lang w:val="en-US"/>
        </w:rPr>
      </w:pPr>
      <w:r w:rsidRPr="0B4F051A" w:rsidR="00C85429">
        <w:rPr>
          <w:lang w:val="en-GB"/>
        </w:rPr>
        <w:t xml:space="preserve">Developments in digitalisation and new digital tools have been covered in EU policy for decades, driven by </w:t>
      </w:r>
      <w:r w:rsidRPr="0B4F051A" w:rsidR="00C85429">
        <w:rPr>
          <w:lang w:val="en-GB"/>
        </w:rPr>
        <w:t>action plan</w:t>
      </w:r>
      <w:r w:rsidRPr="0B4F051A" w:rsidR="00C85429">
        <w:rPr>
          <w:lang w:val="en-GB"/>
        </w:rPr>
        <w:t xml:space="preserve">s, </w:t>
      </w:r>
      <w:r w:rsidRPr="0B4F051A" w:rsidR="00C85429">
        <w:rPr>
          <w:lang w:val="en-GB"/>
        </w:rPr>
        <w:t>strategies</w:t>
      </w:r>
      <w:r w:rsidRPr="0B4F051A" w:rsidR="00C85429">
        <w:rPr>
          <w:lang w:val="en-GB"/>
        </w:rPr>
        <w:t xml:space="preserve"> and knowledge hubs</w:t>
      </w:r>
      <w:r w:rsidRPr="0B4F051A" w:rsidR="4EB539B0">
        <w:rPr>
          <w:lang w:val="en-GB"/>
        </w:rPr>
        <w:t>, and</w:t>
      </w:r>
      <w:r w:rsidRPr="0B4F051A" w:rsidR="00C85429">
        <w:rPr>
          <w:lang w:val="en-GB"/>
        </w:rPr>
        <w:t xml:space="preserve"> addressed across</w:t>
      </w:r>
      <w:r w:rsidRPr="0B4F051A" w:rsidR="472C1D34">
        <w:rPr>
          <w:lang w:val="en-GB"/>
        </w:rPr>
        <w:t xml:space="preserve"> diverse</w:t>
      </w:r>
      <w:r w:rsidRPr="0B4F051A" w:rsidR="00C85429">
        <w:rPr>
          <w:lang w:val="en-GB"/>
        </w:rPr>
        <w:t xml:space="preserve"> themes, including artificial intelligence, </w:t>
      </w:r>
      <w:r w:rsidRPr="0B4F051A" w:rsidR="00C85429">
        <w:rPr>
          <w:lang w:val="en-GB"/>
        </w:rPr>
        <w:t>infrastructure</w:t>
      </w:r>
      <w:r w:rsidRPr="0B4F051A" w:rsidR="00C85429">
        <w:rPr>
          <w:lang w:val="en-GB"/>
        </w:rPr>
        <w:t xml:space="preserve"> and literacy. </w:t>
      </w:r>
      <w:hyperlink r:id="R187181d666724ad4">
        <w:r w:rsidRPr="0B4F051A" w:rsidR="00C85429">
          <w:rPr>
            <w:rStyle w:val="Hyperlink"/>
            <w:lang w:val="en-GB"/>
          </w:rPr>
          <w:t>The health sector is no exception</w:t>
        </w:r>
      </w:hyperlink>
      <w:r w:rsidRPr="0B4F051A" w:rsidR="00C85429">
        <w:rPr>
          <w:lang w:val="en-GB"/>
        </w:rPr>
        <w:t xml:space="preserve">, with use of </w:t>
      </w:r>
      <w:r w:rsidRPr="0B4F051A" w:rsidR="00C85429">
        <w:rPr>
          <w:b w:val="1"/>
          <w:bCs w:val="1"/>
          <w:lang w:val="en-GB"/>
        </w:rPr>
        <w:t xml:space="preserve">eHealth tools, </w:t>
      </w:r>
      <w:r w:rsidRPr="0B4F051A" w:rsidR="00C85429">
        <w:rPr>
          <w:b w:val="1"/>
          <w:bCs w:val="1"/>
          <w:lang w:val="en-GB"/>
        </w:rPr>
        <w:t>telemedicine</w:t>
      </w:r>
      <w:r w:rsidRPr="0B4F051A" w:rsidR="00C85429">
        <w:rPr>
          <w:b w:val="1"/>
          <w:bCs w:val="1"/>
          <w:lang w:val="en-GB"/>
        </w:rPr>
        <w:t xml:space="preserve"> </w:t>
      </w:r>
      <w:r w:rsidRPr="0B4F051A" w:rsidR="00C85429">
        <w:rPr>
          <w:lang w:val="en-GB"/>
        </w:rPr>
        <w:t xml:space="preserve">and </w:t>
      </w:r>
      <w:r w:rsidRPr="0B4F051A" w:rsidR="00C85429">
        <w:rPr>
          <w:b w:val="1"/>
          <w:bCs w:val="1"/>
          <w:lang w:val="en-GB"/>
        </w:rPr>
        <w:t xml:space="preserve">electronic health records </w:t>
      </w:r>
      <w:r w:rsidRPr="0B4F051A" w:rsidR="00C85429">
        <w:rPr>
          <w:lang w:val="en-GB"/>
        </w:rPr>
        <w:t>now at the centre of discussion</w:t>
      </w:r>
      <w:r w:rsidRPr="0B4F051A" w:rsidR="25B96A04">
        <w:rPr>
          <w:lang w:val="en-GB"/>
        </w:rPr>
        <w:t xml:space="preserve">, especially following adoption of the </w:t>
      </w:r>
      <w:r w:rsidRPr="0B4F051A" w:rsidR="25B96A04">
        <w:rPr>
          <w:lang w:val="en-GB"/>
        </w:rPr>
        <w:t>Regula</w:t>
      </w:r>
      <w:r w:rsidRPr="0B4F051A" w:rsidR="6C51551C">
        <w:rPr>
          <w:lang w:val="en-GB"/>
        </w:rPr>
        <w:t xml:space="preserve">tion on the </w:t>
      </w:r>
      <w:hyperlink w:anchor=":~:text=In%20spring%202024%2C%20the%20European,EU%20(primary%20use%20of%20data%20)" r:id="Re29c70b1fac049bb">
        <w:r w:rsidRPr="0B4F051A" w:rsidR="25B96A04">
          <w:rPr>
            <w:rStyle w:val="Hyperlink"/>
            <w:b w:val="1"/>
            <w:bCs w:val="1"/>
            <w:lang w:val="en-GB"/>
          </w:rPr>
          <w:t>European Health Data Space</w:t>
        </w:r>
      </w:hyperlink>
      <w:r w:rsidRPr="0B4F051A" w:rsidR="25B96A04">
        <w:rPr>
          <w:b w:val="1"/>
          <w:bCs w:val="1"/>
          <w:lang w:val="en-GB"/>
        </w:rPr>
        <w:t xml:space="preserve"> </w:t>
      </w:r>
      <w:r w:rsidRPr="0B4F051A" w:rsidR="25B96A04">
        <w:rPr>
          <w:lang w:val="en-GB"/>
        </w:rPr>
        <w:t>(EHDS)</w:t>
      </w:r>
      <w:r w:rsidRPr="0B4F051A" w:rsidR="00C85429">
        <w:rPr>
          <w:lang w:val="en-GB"/>
        </w:rPr>
        <w:t xml:space="preserve">. This paper focuses on one of the challenges within </w:t>
      </w:r>
      <w:hyperlink r:id="R8bbdf4a92fb14d7c">
        <w:r w:rsidRPr="0B4F051A" w:rsidR="00C85429">
          <w:rPr>
            <w:rStyle w:val="Hyperlink"/>
            <w:lang w:val="en-GB"/>
          </w:rPr>
          <w:t>Europe’s Digital Decade</w:t>
        </w:r>
      </w:hyperlink>
      <w:r w:rsidRPr="0B4F051A" w:rsidR="00C85429">
        <w:rPr>
          <w:lang w:val="en-GB"/>
        </w:rPr>
        <w:t xml:space="preserve">: developing </w:t>
      </w:r>
      <w:r w:rsidRPr="0B4F051A" w:rsidR="00C85429">
        <w:rPr>
          <w:b w:val="1"/>
          <w:bCs w:val="1"/>
          <w:lang w:val="en-GB"/>
        </w:rPr>
        <w:t>digital skills</w:t>
      </w:r>
      <w:r w:rsidRPr="0B4F051A" w:rsidR="00C85429">
        <w:rPr>
          <w:lang w:val="en-GB"/>
        </w:rPr>
        <w:t xml:space="preserve">. As the designated approach to developing digital skills, the </w:t>
      </w:r>
      <w:r w:rsidRPr="0B4F051A" w:rsidR="00C85429">
        <w:rPr>
          <w:b w:val="1"/>
          <w:bCs w:val="1"/>
          <w:lang w:val="en-GB"/>
        </w:rPr>
        <w:t xml:space="preserve">Digital Education </w:t>
      </w:r>
      <w:r w:rsidRPr="0B4F051A" w:rsidR="00C85429">
        <w:rPr>
          <w:b w:val="1"/>
          <w:bCs w:val="1"/>
          <w:lang w:val="en-GB"/>
        </w:rPr>
        <w:t>Action Plan</w:t>
      </w:r>
      <w:r w:rsidRPr="0B4F051A" w:rsidR="00C85429">
        <w:rPr>
          <w:b w:val="1"/>
          <w:bCs w:val="1"/>
          <w:lang w:val="en-GB"/>
        </w:rPr>
        <w:t xml:space="preserve"> 2021-2027 </w:t>
      </w:r>
      <w:r w:rsidRPr="0B4F051A" w:rsidR="50503C7D">
        <w:rPr>
          <w:b w:val="1"/>
          <w:bCs w:val="1"/>
          <w:lang w:val="en-GB"/>
        </w:rPr>
        <w:t xml:space="preserve">(DEAP) </w:t>
      </w:r>
      <w:r w:rsidRPr="0B4F051A" w:rsidR="00C85429">
        <w:rPr>
          <w:lang w:val="en-GB"/>
        </w:rPr>
        <w:t xml:space="preserve">is explored with a focus on its potential to reduce health inequities through </w:t>
      </w:r>
      <w:r w:rsidRPr="0B4F051A" w:rsidR="00C85429">
        <w:rPr>
          <w:b w:val="1"/>
          <w:bCs w:val="1"/>
          <w:lang w:val="en-GB"/>
        </w:rPr>
        <w:t>digital health literacy.</w:t>
      </w:r>
      <w:r w:rsidRPr="0B4F051A" w:rsidR="00C85429">
        <w:rPr>
          <w:lang w:val="en-US"/>
        </w:rPr>
        <w:t> </w:t>
      </w:r>
    </w:p>
    <w:p w:rsidRPr="00C85429" w:rsidR="00C85429" w:rsidP="00855CB0" w:rsidRDefault="00C85429" w14:paraId="22B9E6D3" w14:textId="0C56796D">
      <w:pPr>
        <w:jc w:val="both"/>
        <w:rPr>
          <w:lang w:val="en-US"/>
        </w:rPr>
      </w:pPr>
      <w:r w:rsidRPr="0B4F051A" w:rsidR="00C85429">
        <w:rPr>
          <w:lang w:val="en-GB"/>
        </w:rPr>
        <w:t xml:space="preserve">Europe’s digital transformation brings potential for social inclusion </w:t>
      </w:r>
      <w:r w:rsidRPr="0B4F051A" w:rsidR="69297B4F">
        <w:rPr>
          <w:lang w:val="en-GB"/>
        </w:rPr>
        <w:t>but also a</w:t>
      </w:r>
      <w:r w:rsidRPr="0B4F051A" w:rsidR="00C85429">
        <w:rPr>
          <w:lang w:val="en-GB"/>
        </w:rPr>
        <w:t xml:space="preserve"> risk of increasing inequities. The benefits of digitalisation in education or healthcare </w:t>
      </w:r>
      <w:r w:rsidRPr="0B4F051A" w:rsidR="6E5EC824">
        <w:rPr>
          <w:lang w:val="en-GB"/>
        </w:rPr>
        <w:t>must be</w:t>
      </w:r>
      <w:r w:rsidRPr="0B4F051A" w:rsidR="00C85429">
        <w:rPr>
          <w:lang w:val="en-GB"/>
        </w:rPr>
        <w:t xml:space="preserve"> weighed against the risks caused by disparities in access to digital tools and skills. Overall progress is measured in </w:t>
      </w:r>
      <w:hyperlink r:id="R8cb991f672c54c7e">
        <w:r w:rsidRPr="0B4F051A" w:rsidR="00C85429">
          <w:rPr>
            <w:rStyle w:val="Hyperlink"/>
            <w:i w:val="1"/>
            <w:iCs w:val="1"/>
            <w:lang w:val="en-GB"/>
          </w:rPr>
          <w:t>Europe’s Digital Decade</w:t>
        </w:r>
      </w:hyperlink>
      <w:r w:rsidRPr="0B4F051A" w:rsidR="00C85429">
        <w:rPr>
          <w:lang w:val="en-GB"/>
        </w:rPr>
        <w:t xml:space="preserve">, where two of the </w:t>
      </w:r>
      <w:r w:rsidRPr="0B4F051A" w:rsidR="00E48F85">
        <w:rPr>
          <w:lang w:val="en-GB"/>
        </w:rPr>
        <w:t xml:space="preserve">2030 </w:t>
      </w:r>
      <w:r w:rsidRPr="0B4F051A" w:rsidR="00C85429">
        <w:rPr>
          <w:lang w:val="en-GB"/>
        </w:rPr>
        <w:t>objectives</w:t>
      </w:r>
      <w:r w:rsidRPr="0B4F051A" w:rsidR="00C85429">
        <w:rPr>
          <w:lang w:val="en-GB"/>
        </w:rPr>
        <w:t xml:space="preserve"> </w:t>
      </w:r>
      <w:r w:rsidRPr="0B4F051A" w:rsidR="2574D158">
        <w:rPr>
          <w:lang w:val="en-GB"/>
        </w:rPr>
        <w:t>involve</w:t>
      </w:r>
      <w:r w:rsidRPr="0B4F051A" w:rsidR="2574D158">
        <w:rPr>
          <w:lang w:val="en-GB"/>
        </w:rPr>
        <w:t xml:space="preserve"> achieving</w:t>
      </w:r>
      <w:r w:rsidRPr="0B4F051A" w:rsidR="00C85429">
        <w:rPr>
          <w:lang w:val="en-GB"/>
        </w:rPr>
        <w:t>:</w:t>
      </w:r>
      <w:r w:rsidRPr="0B4F051A" w:rsidR="00C85429">
        <w:rPr>
          <w:lang w:val="en-US"/>
        </w:rPr>
        <w:t> </w:t>
      </w:r>
    </w:p>
    <w:p w:rsidRPr="00C85429" w:rsidR="00C85429" w:rsidP="00855CB0" w:rsidRDefault="00C85429" w14:paraId="50D8E393" w14:textId="1B9AF3B5">
      <w:pPr>
        <w:numPr>
          <w:ilvl w:val="0"/>
          <w:numId w:val="1"/>
        </w:numPr>
        <w:jc w:val="both"/>
        <w:rPr>
          <w:lang w:val="en-US"/>
        </w:rPr>
      </w:pPr>
      <w:r w:rsidRPr="0B4F051A" w:rsidR="00C85429">
        <w:rPr>
          <w:lang w:val="en-GB"/>
        </w:rPr>
        <w:t xml:space="preserve">100% of the </w:t>
      </w:r>
      <w:r w:rsidRPr="0B4F051A" w:rsidR="00C85429">
        <w:rPr>
          <w:b w:val="1"/>
          <w:bCs w:val="1"/>
          <w:lang w:val="en-GB"/>
        </w:rPr>
        <w:t>digitalisation of key public services</w:t>
      </w:r>
      <w:r w:rsidRPr="0B4F051A" w:rsidR="00C85429">
        <w:rPr>
          <w:lang w:val="en-GB"/>
        </w:rPr>
        <w:t xml:space="preserve">, </w:t>
      </w:r>
      <w:r w:rsidRPr="0B4F051A" w:rsidR="73E6D1A9">
        <w:rPr>
          <w:lang w:val="en-GB"/>
        </w:rPr>
        <w:t>providing</w:t>
      </w:r>
      <w:r w:rsidRPr="0B4F051A" w:rsidR="00C85429">
        <w:rPr>
          <w:lang w:val="en-GB"/>
        </w:rPr>
        <w:t xml:space="preserve"> 100% of the population an online identity and online access to their medical records.</w:t>
      </w:r>
      <w:r w:rsidRPr="0B4F051A" w:rsidR="00C85429">
        <w:rPr>
          <w:lang w:val="en-US"/>
        </w:rPr>
        <w:t> </w:t>
      </w:r>
    </w:p>
    <w:p w:rsidRPr="00C85429" w:rsidR="00C85429" w:rsidP="00855CB0" w:rsidRDefault="00C85429" w14:paraId="1BDAEAC2" w14:textId="79BEDB99">
      <w:pPr>
        <w:numPr>
          <w:ilvl w:val="0"/>
          <w:numId w:val="2"/>
        </w:numPr>
        <w:jc w:val="both"/>
        <w:rPr>
          <w:lang w:val="en-US"/>
        </w:rPr>
      </w:pPr>
      <w:r w:rsidRPr="00C85429">
        <w:rPr>
          <w:lang w:val="en-GB"/>
        </w:rPr>
        <w:t>80% of citizens aged 16-74 presenting</w:t>
      </w:r>
      <w:r w:rsidRPr="00C85429">
        <w:rPr>
          <w:b/>
          <w:bCs/>
          <w:lang w:val="en-GB"/>
        </w:rPr>
        <w:t xml:space="preserve"> basic digital skills</w:t>
      </w:r>
      <w:r w:rsidRPr="00C85429">
        <w:rPr>
          <w:lang w:val="en-GB"/>
        </w:rPr>
        <w:t>.</w:t>
      </w:r>
      <w:r w:rsidRPr="00C85429">
        <w:rPr>
          <w:lang w:val="en-US"/>
        </w:rPr>
        <w:t> </w:t>
      </w:r>
    </w:p>
    <w:p w:rsidRPr="00C85429" w:rsidR="00C85429" w:rsidP="00855CB0" w:rsidRDefault="00C85429" w14:paraId="386CCD93" w14:textId="266405D7">
      <w:pPr>
        <w:jc w:val="both"/>
        <w:rPr>
          <w:lang w:val="en-US"/>
        </w:rPr>
      </w:pPr>
      <w:r w:rsidRPr="0B4F051A" w:rsidR="00C85429">
        <w:rPr>
          <w:lang w:val="en-GB"/>
        </w:rPr>
        <w:t xml:space="preserve">This mismatch between the speed at which the digital transformation is taking place and the pace at which the population </w:t>
      </w:r>
      <w:r w:rsidRPr="0B4F051A" w:rsidR="00C85429">
        <w:rPr>
          <w:lang w:val="en-GB"/>
        </w:rPr>
        <w:t>is able to</w:t>
      </w:r>
      <w:r w:rsidRPr="0B4F051A" w:rsidR="00C85429">
        <w:rPr>
          <w:lang w:val="en-GB"/>
        </w:rPr>
        <w:t xml:space="preserve"> upgrade their skills </w:t>
      </w:r>
      <w:r w:rsidRPr="0B4F051A" w:rsidR="00C85429">
        <w:rPr>
          <w:lang w:val="en-GB"/>
        </w:rPr>
        <w:t>is in conflict with</w:t>
      </w:r>
      <w:r w:rsidRPr="0B4F051A" w:rsidR="00C85429">
        <w:rPr>
          <w:lang w:val="en-GB"/>
        </w:rPr>
        <w:t xml:space="preserve"> the </w:t>
      </w:r>
      <w:r w:rsidRPr="0B4F051A" w:rsidR="00C85429">
        <w:rPr>
          <w:b w:val="1"/>
          <w:bCs w:val="1"/>
          <w:lang w:val="en-GB"/>
        </w:rPr>
        <w:t>guiding principles</w:t>
      </w:r>
      <w:r w:rsidRPr="0B4F051A" w:rsidR="00C85429">
        <w:rPr>
          <w:lang w:val="en-GB"/>
        </w:rPr>
        <w:t xml:space="preserve"> of Digital Decade Policy Programme, </w:t>
      </w:r>
      <w:hyperlink w:anchor="page=9" r:id="R8fc994b122214031">
        <w:r w:rsidRPr="0B4F051A" w:rsidR="00C85429">
          <w:rPr>
            <w:rStyle w:val="Hyperlink"/>
            <w:lang w:val="en-GB"/>
          </w:rPr>
          <w:t>one of which</w:t>
        </w:r>
      </w:hyperlink>
      <w:r w:rsidRPr="0B4F051A" w:rsidR="00C85429">
        <w:rPr>
          <w:lang w:val="en-GB"/>
        </w:rPr>
        <w:t xml:space="preserve"> is of particular interest </w:t>
      </w:r>
      <w:r w:rsidRPr="0B4F051A" w:rsidR="4173C84C">
        <w:rPr>
          <w:lang w:val="en-GB"/>
        </w:rPr>
        <w:t>for</w:t>
      </w:r>
      <w:r w:rsidRPr="0B4F051A" w:rsidR="00C85429">
        <w:rPr>
          <w:lang w:val="en-GB"/>
        </w:rPr>
        <w:t xml:space="preserve"> this paper: “</w:t>
      </w:r>
      <w:r w:rsidRPr="0B4F051A" w:rsidR="00C85429">
        <w:rPr>
          <w:b w:val="1"/>
          <w:bCs w:val="1"/>
          <w:lang w:val="en-GB"/>
        </w:rPr>
        <w:t>Digital education should play a pivotal role in increasing equality and inclusiveness</w:t>
      </w:r>
      <w:r w:rsidRPr="0B4F051A" w:rsidR="00C85429">
        <w:rPr>
          <w:b w:val="1"/>
          <w:bCs w:val="1"/>
          <w:lang w:val="en-GB"/>
        </w:rPr>
        <w:t>”</w:t>
      </w:r>
      <w:r w:rsidRPr="0B4F051A" w:rsidR="00C85429">
        <w:rPr>
          <w:i w:val="1"/>
          <w:iCs w:val="1"/>
          <w:lang w:val="en-GB"/>
        </w:rPr>
        <w:t>.</w:t>
      </w:r>
      <w:r w:rsidRPr="0B4F051A" w:rsidR="00C85429">
        <w:rPr>
          <w:b w:val="1"/>
          <w:bCs w:val="1"/>
          <w:lang w:val="en-GB"/>
        </w:rPr>
        <w:t xml:space="preserve"> </w:t>
      </w:r>
      <w:r w:rsidRPr="0B4F051A" w:rsidR="00C85429">
        <w:rPr>
          <w:lang w:val="en-GB"/>
        </w:rPr>
        <w:t xml:space="preserve">However, today this </w:t>
      </w:r>
      <w:r w:rsidRPr="0B4F051A" w:rsidR="00C85429">
        <w:rPr>
          <w:lang w:val="en-GB"/>
        </w:rPr>
        <w:t>remains</w:t>
      </w:r>
      <w:r w:rsidRPr="0B4F051A" w:rsidR="00C85429">
        <w:rPr>
          <w:lang w:val="en-GB"/>
        </w:rPr>
        <w:t xml:space="preserve"> more of a righteous ambition</w:t>
      </w:r>
      <w:r w:rsidRPr="0B4F051A" w:rsidR="72C79ADB">
        <w:rPr>
          <w:lang w:val="en-GB"/>
        </w:rPr>
        <w:t>, as</w:t>
      </w:r>
      <w:r w:rsidRPr="0B4F051A" w:rsidR="00C85429">
        <w:rPr>
          <w:lang w:val="en-GB"/>
        </w:rPr>
        <w:t xml:space="preserve"> the Commission has </w:t>
      </w:r>
      <w:r w:rsidRPr="0B4F051A" w:rsidR="00C85429">
        <w:rPr>
          <w:lang w:val="en-GB"/>
        </w:rPr>
        <w:t xml:space="preserve">indicated that the </w:t>
      </w:r>
      <w:hyperlink r:id="Re6f2dd49f09c4fff">
        <w:r w:rsidRPr="0B4F051A" w:rsidR="00C85429">
          <w:rPr>
            <w:rStyle w:val="Hyperlink"/>
            <w:lang w:val="en-GB"/>
          </w:rPr>
          <w:t>2030 goals will not be reached</w:t>
        </w:r>
      </w:hyperlink>
      <w:r w:rsidRPr="0B4F051A" w:rsidR="00C85429">
        <w:rPr>
          <w:lang w:val="en-GB"/>
        </w:rPr>
        <w:t>. </w:t>
      </w:r>
      <w:r w:rsidRPr="0B4F051A" w:rsidR="00C85429">
        <w:rPr>
          <w:lang w:val="en-US"/>
        </w:rPr>
        <w:t> </w:t>
      </w:r>
    </w:p>
    <w:p w:rsidRPr="00C85429" w:rsidR="00C85429" w:rsidP="00855CB0" w:rsidRDefault="00C85429" w14:paraId="4117439D" w14:textId="2A1460F3">
      <w:pPr>
        <w:jc w:val="both"/>
        <w:rPr>
          <w:lang w:val="en-US"/>
        </w:rPr>
      </w:pPr>
      <w:r w:rsidRPr="0B4F051A" w:rsidR="2792EE63">
        <w:rPr>
          <w:lang w:val="en-GB"/>
        </w:rPr>
        <w:t>T</w:t>
      </w:r>
      <w:r w:rsidRPr="0B4F051A" w:rsidR="00C85429">
        <w:rPr>
          <w:lang w:val="en-GB"/>
        </w:rPr>
        <w:t xml:space="preserve">he World Health Organization </w:t>
      </w:r>
      <w:r w:rsidRPr="0B4F051A" w:rsidR="00C85429">
        <w:rPr>
          <w:lang w:val="en-GB"/>
        </w:rPr>
        <w:t>stated</w:t>
      </w:r>
      <w:r w:rsidRPr="0B4F051A" w:rsidR="00C85429">
        <w:rPr>
          <w:lang w:val="en-GB"/>
        </w:rPr>
        <w:t xml:space="preserve"> in its 2023 report </w:t>
      </w:r>
      <w:hyperlink r:id="R923dbcd353e2494a">
        <w:r w:rsidRPr="0B4F051A" w:rsidR="00C85429">
          <w:rPr>
            <w:rStyle w:val="Hyperlink"/>
            <w:i w:val="1"/>
            <w:iCs w:val="1"/>
            <w:lang w:val="en-GB"/>
          </w:rPr>
          <w:t>Digital Health in the European Region</w:t>
        </w:r>
      </w:hyperlink>
      <w:r w:rsidRPr="0B4F051A" w:rsidR="00C85429">
        <w:rPr>
          <w:lang w:val="en-GB"/>
        </w:rPr>
        <w:t xml:space="preserve"> that, while 83% of Member States have a national digital health policy/strategy, only 52% have developed </w:t>
      </w:r>
      <w:r w:rsidRPr="0B4F051A" w:rsidR="00C85429">
        <w:rPr>
          <w:b w:val="1"/>
          <w:bCs w:val="1"/>
          <w:lang w:val="en-GB"/>
        </w:rPr>
        <w:t>digital health literacy policies/strategies</w:t>
      </w:r>
      <w:r w:rsidRPr="0B4F051A" w:rsidR="00C85429">
        <w:rPr>
          <w:lang w:val="en-GB"/>
        </w:rPr>
        <w:t xml:space="preserve">.  Therefore, the rapid digitalisation of healthcare systems could come with devastating consequences, considering that recent </w:t>
      </w:r>
      <w:hyperlink w:anchor=":~:text=In%202023%2C%2056%25%20of%20people,individuals%20published%20by%20Eurostat%20today." r:id="Rb832e60a56264c11">
        <w:r w:rsidRPr="0B4F051A" w:rsidR="00C85429">
          <w:rPr>
            <w:rStyle w:val="Hyperlink"/>
            <w:lang w:val="en-GB"/>
          </w:rPr>
          <w:t>Eurostat data</w:t>
        </w:r>
      </w:hyperlink>
      <w:r w:rsidRPr="0B4F051A" w:rsidR="00C85429">
        <w:rPr>
          <w:lang w:val="en-GB"/>
        </w:rPr>
        <w:t xml:space="preserve"> states that </w:t>
      </w:r>
      <w:r w:rsidRPr="0B4F051A" w:rsidR="00C85429">
        <w:rPr>
          <w:lang w:val="en-GB"/>
        </w:rPr>
        <w:t>nearly half</w:t>
      </w:r>
      <w:r w:rsidRPr="0B4F051A" w:rsidR="00C85429">
        <w:rPr>
          <w:lang w:val="en-GB"/>
        </w:rPr>
        <w:t xml:space="preserve"> of the European population lacks the basic digital skills to </w:t>
      </w:r>
      <w:r w:rsidRPr="0B4F051A" w:rsidR="00C85429">
        <w:rPr>
          <w:lang w:val="en-GB"/>
        </w:rPr>
        <w:t>benefit</w:t>
      </w:r>
      <w:r w:rsidRPr="0B4F051A" w:rsidR="00C85429">
        <w:rPr>
          <w:lang w:val="en-GB"/>
        </w:rPr>
        <w:t xml:space="preserve"> from these services. Moreover, it is likely that those who need innovative health solutions the most are also those who are unable to navigate </w:t>
      </w:r>
      <w:r w:rsidRPr="0B4F051A" w:rsidR="00C85429">
        <w:rPr>
          <w:b w:val="1"/>
          <w:bCs w:val="1"/>
          <w:lang w:val="en-GB"/>
        </w:rPr>
        <w:t>digital health services</w:t>
      </w:r>
      <w:r w:rsidRPr="0B4F051A" w:rsidR="00C85429">
        <w:rPr>
          <w:lang w:val="en-GB"/>
        </w:rPr>
        <w:t xml:space="preserve">, considering that the social determinants of health, such as education and socio-economic background, also impose barriers in </w:t>
      </w:r>
      <w:r w:rsidRPr="0B4F051A" w:rsidR="00C85429">
        <w:rPr>
          <w:lang w:val="en-GB"/>
        </w:rPr>
        <w:t>access</w:t>
      </w:r>
      <w:r w:rsidRPr="0B4F051A" w:rsidR="00C85429">
        <w:rPr>
          <w:lang w:val="en-GB"/>
        </w:rPr>
        <w:t xml:space="preserve"> to digital </w:t>
      </w:r>
      <w:r w:rsidRPr="0B4F051A" w:rsidR="70492FF2">
        <w:rPr>
          <w:lang w:val="en-GB"/>
        </w:rPr>
        <w:t xml:space="preserve">devices and </w:t>
      </w:r>
      <w:r w:rsidRPr="0B4F051A" w:rsidR="00C85429">
        <w:rPr>
          <w:lang w:val="en-GB"/>
        </w:rPr>
        <w:t xml:space="preserve">competences, further </w:t>
      </w:r>
      <w:r w:rsidRPr="0B4F051A" w:rsidR="00C85429">
        <w:rPr>
          <w:lang w:val="en-GB"/>
        </w:rPr>
        <w:t>exacerbating</w:t>
      </w:r>
      <w:r w:rsidRPr="0B4F051A" w:rsidR="00C85429">
        <w:rPr>
          <w:lang w:val="en-GB"/>
        </w:rPr>
        <w:t xml:space="preserve"> existing</w:t>
      </w:r>
      <w:r w:rsidRPr="0B4F051A" w:rsidR="00C85429">
        <w:rPr>
          <w:b w:val="1"/>
          <w:bCs w:val="1"/>
          <w:lang w:val="en-GB"/>
        </w:rPr>
        <w:t xml:space="preserve"> inequities in </w:t>
      </w:r>
      <w:r w:rsidRPr="0B4F051A" w:rsidR="00C85429">
        <w:rPr>
          <w:b w:val="1"/>
          <w:bCs w:val="1"/>
          <w:lang w:val="en-GB"/>
        </w:rPr>
        <w:t>access</w:t>
      </w:r>
      <w:r w:rsidRPr="0B4F051A" w:rsidR="00C85429">
        <w:rPr>
          <w:b w:val="1"/>
          <w:bCs w:val="1"/>
          <w:lang w:val="en-GB"/>
        </w:rPr>
        <w:t xml:space="preserve"> to health</w:t>
      </w:r>
      <w:r w:rsidRPr="0B4F051A" w:rsidR="00C85429">
        <w:rPr>
          <w:lang w:val="en-GB"/>
        </w:rPr>
        <w:t>. </w:t>
      </w:r>
      <w:r w:rsidRPr="0B4F051A" w:rsidR="00C85429">
        <w:rPr>
          <w:lang w:val="en-US"/>
        </w:rPr>
        <w:t> </w:t>
      </w:r>
    </w:p>
    <w:p w:rsidRPr="00C85429" w:rsidR="00C85429" w:rsidP="0B4F051A" w:rsidRDefault="00C85429" w14:paraId="7AF99A4A" w14:textId="38FEDDC7">
      <w:pPr>
        <w:jc w:val="both"/>
        <w:rPr>
          <w:lang w:val="en-US"/>
        </w:rPr>
      </w:pPr>
      <w:r w:rsidRPr="0B4F051A" w:rsidR="00C85429">
        <w:rPr>
          <w:lang w:val="en-GB"/>
        </w:rPr>
        <w:t xml:space="preserve">The </w:t>
      </w:r>
      <w:r w:rsidRPr="0B4F051A" w:rsidR="51467B59">
        <w:rPr>
          <w:lang w:val="en-GB"/>
        </w:rPr>
        <w:t>DEAP</w:t>
      </w:r>
      <w:r w:rsidRPr="0B4F051A" w:rsidR="00C85429">
        <w:rPr>
          <w:lang w:val="en-GB"/>
        </w:rPr>
        <w:t xml:space="preserve"> </w:t>
      </w:r>
      <w:r w:rsidRPr="0B4F051A" w:rsidR="00C85429">
        <w:rPr>
          <w:lang w:val="en-GB"/>
        </w:rPr>
        <w:t>contains</w:t>
      </w:r>
      <w:r w:rsidRPr="0B4F051A" w:rsidR="00C85429">
        <w:rPr>
          <w:lang w:val="en-GB"/>
        </w:rPr>
        <w:t xml:space="preserve"> a </w:t>
      </w:r>
      <w:hyperlink r:id="R2d6eee13901d41c9">
        <w:r w:rsidRPr="0B4F051A" w:rsidR="00C85429">
          <w:rPr>
            <w:rStyle w:val="Hyperlink"/>
            <w:lang w:val="en-GB"/>
          </w:rPr>
          <w:t>list of specific actions</w:t>
        </w:r>
      </w:hyperlink>
      <w:r w:rsidRPr="0B4F051A" w:rsidR="00C85429">
        <w:rPr>
          <w:lang w:val="en-GB"/>
        </w:rPr>
        <w:t xml:space="preserve">. On the topic of digital health literacy, the most </w:t>
      </w:r>
      <w:r w:rsidRPr="0B4F051A" w:rsidR="45262C29">
        <w:rPr>
          <w:lang w:val="en-GB"/>
        </w:rPr>
        <w:t>relevant</w:t>
      </w:r>
      <w:r w:rsidRPr="0B4F051A" w:rsidR="00C85429">
        <w:rPr>
          <w:lang w:val="en-GB"/>
        </w:rPr>
        <w:t xml:space="preserve"> are Action 7 (</w:t>
      </w:r>
      <w:r w:rsidRPr="0B4F051A" w:rsidR="00C85429">
        <w:rPr>
          <w:b w:val="1"/>
          <w:bCs w:val="1"/>
          <w:lang w:val="en-GB"/>
        </w:rPr>
        <w:t>guidelines for teachers</w:t>
      </w:r>
      <w:r w:rsidRPr="0B4F051A" w:rsidR="00C85429">
        <w:rPr>
          <w:lang w:val="en-GB"/>
        </w:rPr>
        <w:t xml:space="preserve">) </w:t>
      </w:r>
      <w:r w:rsidRPr="0B4F051A" w:rsidR="3978FDF3">
        <w:rPr>
          <w:lang w:val="en-GB"/>
        </w:rPr>
        <w:t xml:space="preserve">and </w:t>
      </w:r>
      <w:r w:rsidRPr="0B4F051A" w:rsidR="00C85429">
        <w:rPr>
          <w:lang w:val="en-GB"/>
        </w:rPr>
        <w:t>Action 8 (</w:t>
      </w:r>
      <w:r w:rsidRPr="0B4F051A" w:rsidR="00C85429">
        <w:rPr>
          <w:b w:val="1"/>
          <w:bCs w:val="1"/>
          <w:lang w:val="en-GB"/>
        </w:rPr>
        <w:t>AI and data-related skills</w:t>
      </w:r>
      <w:r w:rsidRPr="0B4F051A" w:rsidR="00C85429">
        <w:rPr>
          <w:lang w:val="en-GB"/>
        </w:rPr>
        <w:t xml:space="preserve">). </w:t>
      </w:r>
      <w:r w:rsidRPr="0B4F051A" w:rsidR="4315EDE9">
        <w:rPr>
          <w:lang w:val="en-GB"/>
        </w:rPr>
        <w:t>T</w:t>
      </w:r>
      <w:r w:rsidRPr="0B4F051A" w:rsidR="00C85429">
        <w:rPr>
          <w:lang w:val="en-GB"/>
        </w:rPr>
        <w:t xml:space="preserve">he </w:t>
      </w:r>
      <w:hyperlink r:id="Rf74496a0f607470a">
        <w:r w:rsidRPr="0B4F051A" w:rsidR="00C85429">
          <w:rPr>
            <w:rStyle w:val="Hyperlink"/>
            <w:b w:val="1"/>
            <w:bCs w:val="1"/>
            <w:lang w:val="en-GB"/>
          </w:rPr>
          <w:t>Council Recommendation on the key enabling factors for successful digital education and training</w:t>
        </w:r>
      </w:hyperlink>
      <w:r w:rsidRPr="0B4F051A" w:rsidR="00C85429">
        <w:rPr>
          <w:lang w:val="en-GB"/>
        </w:rPr>
        <w:t xml:space="preserve"> of 23 </w:t>
      </w:r>
      <w:r w:rsidRPr="0B4F051A" w:rsidR="24F88B25">
        <w:rPr>
          <w:lang w:val="en-GB"/>
        </w:rPr>
        <w:t>November</w:t>
      </w:r>
      <w:r w:rsidRPr="0B4F051A" w:rsidR="00C85429">
        <w:rPr>
          <w:lang w:val="en-GB"/>
        </w:rPr>
        <w:t xml:space="preserve"> 2023</w:t>
      </w:r>
      <w:r w:rsidRPr="0B4F051A" w:rsidR="41FBD022">
        <w:rPr>
          <w:lang w:val="en-GB"/>
        </w:rPr>
        <w:t>,</w:t>
      </w:r>
      <w:r w:rsidRPr="0B4F051A" w:rsidR="00C85429">
        <w:rPr>
          <w:lang w:val="en-GB"/>
        </w:rPr>
        <w:t xml:space="preserve"> </w:t>
      </w:r>
      <w:r w:rsidRPr="0B4F051A" w:rsidR="00C85429">
        <w:rPr>
          <w:lang w:val="en-GB"/>
        </w:rPr>
        <w:t>provides</w:t>
      </w:r>
      <w:r w:rsidRPr="0B4F051A" w:rsidR="00C85429">
        <w:rPr>
          <w:lang w:val="en-GB"/>
        </w:rPr>
        <w:t xml:space="preserve"> an insight into the degree of focus on inclusion and digital literacy. </w:t>
      </w:r>
      <w:r w:rsidRPr="0B4F051A" w:rsidR="5949BEF3">
        <w:rPr>
          <w:lang w:val="en-GB"/>
        </w:rPr>
        <w:t>A</w:t>
      </w:r>
      <w:r w:rsidRPr="0B4F051A" w:rsidR="00C85429">
        <w:rPr>
          <w:lang w:val="en-GB"/>
        </w:rPr>
        <w:t xml:space="preserve"> very welcome development, as it </w:t>
      </w:r>
      <w:r w:rsidRPr="0B4F051A" w:rsidR="00C85429">
        <w:rPr>
          <w:lang w:val="en-GB"/>
        </w:rPr>
        <w:t>provides</w:t>
      </w:r>
      <w:r w:rsidRPr="0B4F051A" w:rsidR="00C85429">
        <w:rPr>
          <w:lang w:val="en-GB"/>
        </w:rPr>
        <w:t xml:space="preserve"> </w:t>
      </w:r>
      <w:r w:rsidRPr="0B4F051A" w:rsidR="00C85429">
        <w:rPr>
          <w:lang w:val="en-GB"/>
        </w:rPr>
        <w:t>a relatively up-to-date</w:t>
      </w:r>
      <w:r w:rsidRPr="0B4F051A" w:rsidR="00C85429">
        <w:rPr>
          <w:lang w:val="en-GB"/>
        </w:rPr>
        <w:t xml:space="preserve"> insight on the status of the </w:t>
      </w:r>
      <w:r w:rsidRPr="0B4F051A" w:rsidR="119C0725">
        <w:rPr>
          <w:lang w:val="en-GB"/>
        </w:rPr>
        <w:t>DEAP</w:t>
      </w:r>
      <w:r w:rsidRPr="0B4F051A" w:rsidR="00C85429">
        <w:rPr>
          <w:lang w:val="en-GB"/>
        </w:rPr>
        <w:t>.</w:t>
      </w:r>
      <w:r w:rsidRPr="0B4F051A" w:rsidR="00C85429">
        <w:rPr>
          <w:lang w:val="en-US"/>
        </w:rPr>
        <w:t> </w:t>
      </w:r>
    </w:p>
    <w:p w:rsidRPr="00C85429" w:rsidR="00C85429" w:rsidP="0B4F051A" w:rsidRDefault="00C85429" w14:paraId="21FB4293" w14:textId="08F80CD5">
      <w:pPr>
        <w:pStyle w:val="Normal"/>
        <w:suppressLineNumbers w:val="0"/>
        <w:bidi w:val="0"/>
        <w:spacing w:before="0" w:beforeAutospacing="off" w:after="160" w:afterAutospacing="off" w:line="259" w:lineRule="auto"/>
        <w:ind w:left="0" w:right="0"/>
        <w:jc w:val="both"/>
        <w:rPr>
          <w:lang w:val="en-US"/>
        </w:rPr>
      </w:pPr>
      <w:r w:rsidRPr="0B4F051A" w:rsidR="00C85429">
        <w:rPr>
          <w:lang w:val="en-GB"/>
        </w:rPr>
        <w:t xml:space="preserve">The recommendations do encourage member states to evaluate the </w:t>
      </w:r>
      <w:r w:rsidRPr="0B4F051A" w:rsidR="00C85429">
        <w:rPr>
          <w:b w:val="1"/>
          <w:bCs w:val="1"/>
          <w:lang w:val="en-GB"/>
        </w:rPr>
        <w:t>inclusivity</w:t>
      </w:r>
      <w:r w:rsidRPr="0B4F051A" w:rsidR="00C85429">
        <w:rPr>
          <w:lang w:val="en-GB"/>
        </w:rPr>
        <w:t xml:space="preserve"> and </w:t>
      </w:r>
      <w:r w:rsidRPr="0B4F051A" w:rsidR="00C85429">
        <w:rPr>
          <w:b w:val="1"/>
          <w:bCs w:val="1"/>
          <w:lang w:val="en-GB"/>
        </w:rPr>
        <w:t>equality</w:t>
      </w:r>
      <w:r w:rsidRPr="0B4F051A" w:rsidR="00C85429">
        <w:rPr>
          <w:lang w:val="en-GB"/>
        </w:rPr>
        <w:t xml:space="preserve"> of digital education policies (recommendation 1C) and to ensure </w:t>
      </w:r>
      <w:r w:rsidRPr="0B4F051A" w:rsidR="00C85429">
        <w:rPr>
          <w:b w:val="1"/>
          <w:bCs w:val="1"/>
          <w:lang w:val="en-GB"/>
        </w:rPr>
        <w:t>inclusion</w:t>
      </w:r>
      <w:r w:rsidRPr="0B4F051A" w:rsidR="00C85429">
        <w:rPr>
          <w:lang w:val="en-GB"/>
        </w:rPr>
        <w:t xml:space="preserve"> of groups who have no formal representative bodies (recommendation 2B). However, there is no specific guidance on how this should be done. Recommendation 4 provides input on “</w:t>
      </w:r>
      <w:r w:rsidRPr="0B4F051A" w:rsidR="00C85429">
        <w:rPr>
          <w:b w:val="1"/>
          <w:bCs w:val="1"/>
          <w:lang w:val="en-GB"/>
        </w:rPr>
        <w:t xml:space="preserve">equitable and </w:t>
      </w:r>
      <w:r w:rsidRPr="0B4F051A" w:rsidR="00C85429">
        <w:rPr>
          <w:b w:val="1"/>
          <w:bCs w:val="1"/>
          <w:lang w:val="en-GB"/>
        </w:rPr>
        <w:t>impact-focused investmen</w:t>
      </w:r>
      <w:r w:rsidRPr="0B4F051A" w:rsidR="00C85429">
        <w:rPr>
          <w:lang w:val="en-GB"/>
        </w:rPr>
        <w:t>t in high-quality,</w:t>
      </w:r>
      <w:r w:rsidRPr="0B4F051A" w:rsidR="00C85429">
        <w:rPr>
          <w:b w:val="1"/>
          <w:bCs w:val="1"/>
          <w:lang w:val="en-GB"/>
        </w:rPr>
        <w:t xml:space="preserve"> </w:t>
      </w:r>
      <w:r w:rsidRPr="0B4F051A" w:rsidR="00C85429">
        <w:rPr>
          <w:lang w:val="en-GB"/>
        </w:rPr>
        <w:t>resilient</w:t>
      </w:r>
      <w:r w:rsidRPr="0B4F051A" w:rsidR="00C85429">
        <w:rPr>
          <w:b w:val="1"/>
          <w:bCs w:val="1"/>
          <w:lang w:val="en-GB"/>
        </w:rPr>
        <w:t xml:space="preserve"> </w:t>
      </w:r>
      <w:r w:rsidRPr="0B4F051A" w:rsidR="00C85429">
        <w:rPr>
          <w:lang w:val="en-GB"/>
        </w:rPr>
        <w:t>and</w:t>
      </w:r>
      <w:r w:rsidRPr="0B4F051A" w:rsidR="00C85429">
        <w:rPr>
          <w:b w:val="1"/>
          <w:bCs w:val="1"/>
          <w:lang w:val="en-GB"/>
        </w:rPr>
        <w:t xml:space="preserve"> inclusive digital education and</w:t>
      </w:r>
      <w:r w:rsidRPr="0B4F051A" w:rsidR="00C85429">
        <w:rPr>
          <w:lang w:val="en-GB"/>
        </w:rPr>
        <w:t xml:space="preserve"> </w:t>
      </w:r>
      <w:r w:rsidRPr="0B4F051A" w:rsidR="00C85429">
        <w:rPr>
          <w:b w:val="1"/>
          <w:bCs w:val="1"/>
          <w:lang w:val="en-GB"/>
        </w:rPr>
        <w:t>training</w:t>
      </w:r>
      <w:r w:rsidRPr="0B4F051A" w:rsidR="00C85429">
        <w:rPr>
          <w:lang w:val="en-GB"/>
        </w:rPr>
        <w:t>.”</w:t>
      </w:r>
      <w:r w:rsidRPr="0B4F051A" w:rsidR="00C85429">
        <w:rPr>
          <w:b w:val="1"/>
          <w:bCs w:val="1"/>
          <w:lang w:val="en-GB"/>
        </w:rPr>
        <w:t xml:space="preserve"> </w:t>
      </w:r>
      <w:r w:rsidRPr="0B4F051A" w:rsidR="00C85429">
        <w:rPr>
          <w:lang w:val="en-GB"/>
        </w:rPr>
        <w:t xml:space="preserve">Unfortunately, this only provides </w:t>
      </w:r>
      <w:r w:rsidRPr="0B4F051A" w:rsidR="00C85429">
        <w:rPr>
          <w:lang w:val="en-GB"/>
        </w:rPr>
        <w:t>guidance on investment,</w:t>
      </w:r>
      <w:r w:rsidRPr="0B4F051A" w:rsidR="4A3A1ED1">
        <w:rPr>
          <w:lang w:val="en-GB"/>
        </w:rPr>
        <w:t xml:space="preserve"> ignoring</w:t>
      </w:r>
      <w:r w:rsidRPr="0B4F051A" w:rsidR="00C85429">
        <w:rPr>
          <w:lang w:val="en-GB"/>
        </w:rPr>
        <w:t xml:space="preserve"> how Member States should ensure that marginalised or vulnerable groups are included in digital education and training. Disappointingly, there is </w:t>
      </w:r>
      <w:r w:rsidRPr="0B4F051A" w:rsidR="00C85429">
        <w:rPr>
          <w:b w:val="1"/>
          <w:bCs w:val="1"/>
          <w:lang w:val="en-GB"/>
        </w:rPr>
        <w:t>no substantive mention of digital literacy</w:t>
      </w:r>
      <w:r w:rsidRPr="0B4F051A" w:rsidR="00C85429">
        <w:rPr>
          <w:lang w:val="en-GB"/>
        </w:rPr>
        <w:t>, which keeps it unclear where we stand on development of digital literacy. This is worrying</w:t>
      </w:r>
      <w:r w:rsidRPr="0B4F051A" w:rsidR="6E334D40">
        <w:rPr>
          <w:lang w:val="en-GB"/>
        </w:rPr>
        <w:t>,</w:t>
      </w:r>
      <w:r w:rsidRPr="0B4F051A" w:rsidR="00C85429">
        <w:rPr>
          <w:lang w:val="en-GB"/>
        </w:rPr>
        <w:t xml:space="preserve"> as the measures in the </w:t>
      </w:r>
      <w:r w:rsidRPr="0B4F051A" w:rsidR="50A8D86D">
        <w:rPr>
          <w:lang w:val="en-GB"/>
        </w:rPr>
        <w:t>DEAP</w:t>
      </w:r>
      <w:r w:rsidRPr="0B4F051A" w:rsidR="00C85429">
        <w:rPr>
          <w:lang w:val="en-GB"/>
        </w:rPr>
        <w:t xml:space="preserve"> target the education system without making clear how it intends to serve the needs of individuals who may be excluded (e.g. Roma, migrants</w:t>
      </w:r>
      <w:r w:rsidRPr="0B4F051A" w:rsidR="644CA17C">
        <w:rPr>
          <w:lang w:val="en-GB"/>
        </w:rPr>
        <w:t>, older adults,</w:t>
      </w:r>
      <w:r w:rsidRPr="0B4F051A" w:rsidR="00C85429">
        <w:rPr>
          <w:lang w:val="en-GB"/>
        </w:rPr>
        <w:t xml:space="preserve"> or people experiencing homelessness). A more mainstreamed approach with the Union of Equality Strategies could remedy this.</w:t>
      </w:r>
      <w:r w:rsidRPr="0B4F051A" w:rsidR="00C85429">
        <w:rPr>
          <w:lang w:val="en-US"/>
        </w:rPr>
        <w:t> </w:t>
      </w:r>
    </w:p>
    <w:p w:rsidRPr="00C85429" w:rsidR="00C85429" w:rsidP="00855CB0" w:rsidRDefault="00C85429" w14:paraId="3F35D193" w14:textId="4D06CF69">
      <w:pPr>
        <w:jc w:val="both"/>
        <w:rPr>
          <w:lang w:val="en-US"/>
        </w:rPr>
      </w:pPr>
      <w:r w:rsidRPr="0B4F051A" w:rsidR="00C85429">
        <w:rPr>
          <w:lang w:val="en-GB"/>
        </w:rPr>
        <w:t>A large difficulty lies in the fact that actions under the D</w:t>
      </w:r>
      <w:r w:rsidRPr="0B4F051A" w:rsidR="446DC449">
        <w:rPr>
          <w:lang w:val="en-GB"/>
        </w:rPr>
        <w:t xml:space="preserve">EAP </w:t>
      </w:r>
      <w:r w:rsidRPr="0B4F051A" w:rsidR="00C85429">
        <w:rPr>
          <w:lang w:val="en-GB"/>
        </w:rPr>
        <w:t xml:space="preserve">are </w:t>
      </w:r>
      <w:r w:rsidRPr="0B4F051A" w:rsidR="00C85429">
        <w:rPr>
          <w:b w:val="1"/>
          <w:bCs w:val="1"/>
          <w:lang w:val="en-GB"/>
        </w:rPr>
        <w:t>not binding to Member States</w:t>
      </w:r>
      <w:r w:rsidRPr="0B4F051A" w:rsidR="00C85429">
        <w:rPr>
          <w:lang w:val="en-GB"/>
        </w:rPr>
        <w:t xml:space="preserve">. The </w:t>
      </w:r>
      <w:r w:rsidRPr="0B4F051A" w:rsidR="3003895D">
        <w:rPr>
          <w:lang w:val="en-GB"/>
        </w:rPr>
        <w:t>DEAP</w:t>
      </w:r>
      <w:r w:rsidRPr="0B4F051A" w:rsidR="00C85429">
        <w:rPr>
          <w:lang w:val="en-GB"/>
        </w:rPr>
        <w:t xml:space="preserve"> further links to </w:t>
      </w:r>
      <w:r w:rsidRPr="0B4F051A" w:rsidR="00C85429">
        <w:rPr>
          <w:lang w:val="en-GB"/>
        </w:rPr>
        <w:t>a number of</w:t>
      </w:r>
      <w:r w:rsidRPr="0B4F051A" w:rsidR="00C85429">
        <w:rPr>
          <w:lang w:val="en-GB"/>
        </w:rPr>
        <w:t xml:space="preserve"> other European policy frameworks (e.g. European Pillar of Social Rights, 2030 Digital Compass and European Skills Agenda) which do not put any clear expectations on Member States when it comes to digital literacy. </w:t>
      </w:r>
      <w:r w:rsidRPr="0B4F051A" w:rsidR="00C85429">
        <w:rPr>
          <w:lang w:val="en-US"/>
        </w:rPr>
        <w:t> </w:t>
      </w:r>
    </w:p>
    <w:p w:rsidRPr="00C85429" w:rsidR="00C85429" w:rsidP="00855CB0" w:rsidRDefault="00C85429" w14:paraId="0EB5DBE2" w14:textId="5E381D91">
      <w:pPr>
        <w:jc w:val="both"/>
        <w:rPr>
          <w:lang w:val="en-US"/>
        </w:rPr>
      </w:pPr>
      <w:r w:rsidRPr="0B4F051A" w:rsidR="00C85429">
        <w:rPr>
          <w:lang w:val="en-GB"/>
        </w:rPr>
        <w:t>On health more specifically, the</w:t>
      </w:r>
      <w:r w:rsidRPr="0B4F051A" w:rsidR="74FA938B">
        <w:rPr>
          <w:lang w:val="en-GB"/>
        </w:rPr>
        <w:t xml:space="preserve"> </w:t>
      </w:r>
      <w:r w:rsidRPr="0B4F051A" w:rsidR="00C85429">
        <w:rPr>
          <w:lang w:val="en-GB"/>
        </w:rPr>
        <w:t>EHDS</w:t>
      </w:r>
      <w:r w:rsidRPr="0B4F051A" w:rsidR="05F63C71">
        <w:rPr>
          <w:lang w:val="en-GB"/>
        </w:rPr>
        <w:t xml:space="preserve"> Regulation</w:t>
      </w:r>
      <w:r w:rsidRPr="0B4F051A" w:rsidR="00C85429">
        <w:rPr>
          <w:lang w:val="en-GB"/>
        </w:rPr>
        <w:t xml:space="preserve"> is the designated framework on digitalisation and data. Education </w:t>
      </w:r>
      <w:r w:rsidRPr="0B4F051A" w:rsidR="51F73E84">
        <w:rPr>
          <w:lang w:val="en-GB"/>
        </w:rPr>
        <w:t>is key l</w:t>
      </w:r>
      <w:r w:rsidRPr="0B4F051A" w:rsidR="00C85429">
        <w:rPr>
          <w:lang w:val="en-GB"/>
        </w:rPr>
        <w:t>evelling the playing field and truly empowering all citizens to take control of their own health, delivering on the promises of the EHDS, but the D</w:t>
      </w:r>
      <w:r w:rsidRPr="0B4F051A" w:rsidR="4AF01188">
        <w:rPr>
          <w:lang w:val="en-GB"/>
        </w:rPr>
        <w:t>EAP</w:t>
      </w:r>
      <w:r w:rsidRPr="0B4F051A" w:rsidR="00C85429">
        <w:rPr>
          <w:lang w:val="en-GB"/>
        </w:rPr>
        <w:t xml:space="preserve"> makes no mention of how </w:t>
      </w:r>
      <w:r w:rsidRPr="0B4F051A" w:rsidR="00C85429">
        <w:rPr>
          <w:lang w:val="en-GB"/>
        </w:rPr>
        <w:t>action could be mainstreamed with the EHDS.</w:t>
      </w:r>
      <w:r w:rsidRPr="0B4F051A" w:rsidR="00C85429">
        <w:rPr>
          <w:lang w:val="en-US"/>
        </w:rPr>
        <w:t> </w:t>
      </w:r>
    </w:p>
    <w:p w:rsidRPr="00C85429" w:rsidR="00C85429" w:rsidP="00855CB0" w:rsidRDefault="00C85429" w14:paraId="71C11AA8" w14:textId="205A8ABA">
      <w:pPr>
        <w:jc w:val="both"/>
        <w:rPr>
          <w:lang w:val="en-US"/>
        </w:rPr>
      </w:pPr>
      <w:r w:rsidRPr="0B4F051A" w:rsidR="00C85429">
        <w:rPr>
          <w:lang w:val="en-GB"/>
        </w:rPr>
        <w:t xml:space="preserve">Finally, navigating a digital world effectively requires </w:t>
      </w:r>
      <w:r w:rsidRPr="0B4F051A" w:rsidR="00C85429">
        <w:rPr>
          <w:b w:val="1"/>
          <w:bCs w:val="1"/>
          <w:lang w:val="en-GB"/>
        </w:rPr>
        <w:t>more than digital skills.</w:t>
      </w:r>
      <w:r w:rsidRPr="0B4F051A" w:rsidR="00C85429">
        <w:rPr>
          <w:lang w:val="en-GB"/>
        </w:rPr>
        <w:t xml:space="preserve"> The D</w:t>
      </w:r>
      <w:r w:rsidRPr="0B4F051A" w:rsidR="364D57B5">
        <w:rPr>
          <w:lang w:val="en-GB"/>
        </w:rPr>
        <w:t>EAP</w:t>
      </w:r>
      <w:r w:rsidRPr="0B4F051A" w:rsidR="00C85429">
        <w:rPr>
          <w:lang w:val="en-GB"/>
        </w:rPr>
        <w:t xml:space="preserve"> emphasizes the need to improve the digital skills and competences of the population to be able to adapt to the digital transformation. Yet, </w:t>
      </w:r>
      <w:r w:rsidRPr="0B4F051A" w:rsidR="00C85429">
        <w:rPr>
          <w:lang w:val="en-GB"/>
        </w:rPr>
        <w:t>the majority of</w:t>
      </w:r>
      <w:r w:rsidRPr="0B4F051A" w:rsidR="00C85429">
        <w:rPr>
          <w:lang w:val="en-GB"/>
        </w:rPr>
        <w:t xml:space="preserve"> the actions listed within this priority focus exclusively on digital skills, when a more comprehensive approach is necessary to thrive in a digital world. For example, according to </w:t>
      </w:r>
      <w:hyperlink r:id="Rc9324542902a4196">
        <w:r w:rsidRPr="0B4F051A" w:rsidR="00C85429">
          <w:rPr>
            <w:rStyle w:val="Hyperlink"/>
            <w:lang w:val="en-GB"/>
          </w:rPr>
          <w:t>UNICEF</w:t>
        </w:r>
      </w:hyperlink>
      <w:r w:rsidRPr="0B4F051A" w:rsidR="00C85429">
        <w:rPr>
          <w:lang w:val="en-GB"/>
        </w:rPr>
        <w:t>, 95% of children in the EU believe that they are skilled enough to use a computer or tablet, but only 67% trust their ability to</w:t>
      </w:r>
      <w:r w:rsidRPr="0B4F051A" w:rsidR="00C85429">
        <w:rPr>
          <w:b w:val="1"/>
          <w:bCs w:val="1"/>
          <w:lang w:val="en-GB"/>
        </w:rPr>
        <w:t xml:space="preserve"> </w:t>
      </w:r>
      <w:r w:rsidRPr="0B4F051A" w:rsidR="00C85429">
        <w:rPr>
          <w:lang w:val="en-GB"/>
        </w:rPr>
        <w:t>judge if a website is trustworthy (of which only 33% do so confidently). </w:t>
      </w:r>
      <w:r w:rsidRPr="0B4F051A" w:rsidR="00C85429">
        <w:rPr>
          <w:lang w:val="en-US"/>
        </w:rPr>
        <w:t> </w:t>
      </w:r>
    </w:p>
    <w:p w:rsidRPr="00C1608D" w:rsidR="00427E4D" w:rsidP="00855CB0" w:rsidRDefault="00C85429" w14:paraId="56485A8D" w14:textId="6499CE91">
      <w:pPr>
        <w:jc w:val="both"/>
        <w:rPr>
          <w:lang w:val="en-US"/>
        </w:rPr>
      </w:pPr>
      <w:r w:rsidRPr="0B4F051A" w:rsidR="07E504F4">
        <w:rPr>
          <w:lang w:val="en-GB"/>
        </w:rPr>
        <w:t>B</w:t>
      </w:r>
      <w:r w:rsidRPr="0B4F051A" w:rsidR="00C85429">
        <w:rPr>
          <w:lang w:val="en-GB"/>
        </w:rPr>
        <w:t xml:space="preserve">asic digital skills in the absence of a broader skillset could be more </w:t>
      </w:r>
      <w:r w:rsidRPr="0B4F051A" w:rsidR="00C85429">
        <w:rPr>
          <w:b w:val="1"/>
          <w:bCs w:val="1"/>
          <w:lang w:val="en-GB"/>
        </w:rPr>
        <w:t>detrimental for health</w:t>
      </w:r>
      <w:r w:rsidRPr="0B4F051A" w:rsidR="00C85429">
        <w:rPr>
          <w:lang w:val="en-GB"/>
        </w:rPr>
        <w:t xml:space="preserve">, particularly in the case of children. Education is crucial to defeat threats such as the commercial interests behind online health disinformation and social media profiling, </w:t>
      </w:r>
      <w:r w:rsidRPr="0B4F051A" w:rsidR="00C85429">
        <w:rPr>
          <w:lang w:val="en-GB"/>
        </w:rPr>
        <w:t>cyberbullying</w:t>
      </w:r>
      <w:r w:rsidRPr="0B4F051A" w:rsidR="00C85429">
        <w:rPr>
          <w:lang w:val="en-GB"/>
        </w:rPr>
        <w:t xml:space="preserve"> or exposure to harmful contents. But </w:t>
      </w:r>
      <w:r w:rsidRPr="0B4F051A" w:rsidR="00C85429">
        <w:rPr>
          <w:b w:val="1"/>
          <w:bCs w:val="1"/>
          <w:lang w:val="en-GB"/>
        </w:rPr>
        <w:t>digital health literacy is</w:t>
      </w:r>
      <w:r w:rsidRPr="0B4F051A" w:rsidR="00C85429">
        <w:rPr>
          <w:lang w:val="en-GB"/>
        </w:rPr>
        <w:t xml:space="preserve"> </w:t>
      </w:r>
      <w:r w:rsidRPr="0B4F051A" w:rsidR="00C85429">
        <w:rPr>
          <w:b w:val="1"/>
          <w:bCs w:val="1"/>
          <w:lang w:val="en-GB"/>
        </w:rPr>
        <w:t>more than just the combination of basic digital skills and health literacy</w:t>
      </w:r>
      <w:r w:rsidRPr="0B4F051A" w:rsidR="00C85429">
        <w:rPr>
          <w:lang w:val="en-GB"/>
        </w:rPr>
        <w:t xml:space="preserve">. </w:t>
      </w:r>
      <w:hyperlink r:id="Rabaec2c3b4e64aab">
        <w:r w:rsidRPr="0B4F051A" w:rsidR="00C85429">
          <w:rPr>
            <w:rStyle w:val="Hyperlink"/>
            <w:lang w:val="en-GB"/>
          </w:rPr>
          <w:t>Key skills</w:t>
        </w:r>
      </w:hyperlink>
      <w:r w:rsidRPr="0B4F051A" w:rsidR="00C85429">
        <w:rPr>
          <w:lang w:val="en-GB"/>
        </w:rPr>
        <w:t xml:space="preserve"> such as the ability to evaluate the reliability of a source of health information or to assess its relevance have become essential. </w:t>
      </w:r>
      <w:r w:rsidRPr="0B4F051A" w:rsidR="00C85429">
        <w:rPr>
          <w:b w:val="1"/>
          <w:bCs w:val="1"/>
          <w:lang w:val="en-GB"/>
        </w:rPr>
        <w:t>Critical judgement</w:t>
      </w:r>
      <w:r w:rsidRPr="0B4F051A" w:rsidR="00C85429">
        <w:rPr>
          <w:lang w:val="en-GB"/>
        </w:rPr>
        <w:t xml:space="preserve"> should be a core </w:t>
      </w:r>
      <w:r w:rsidRPr="0B4F051A" w:rsidR="00C85429">
        <w:rPr>
          <w:lang w:val="en-GB"/>
        </w:rPr>
        <w:t>component</w:t>
      </w:r>
      <w:r w:rsidRPr="0B4F051A" w:rsidR="00C85429">
        <w:rPr>
          <w:lang w:val="en-GB"/>
        </w:rPr>
        <w:t xml:space="preserve"> of digital education in the pursuit of health and overall wellbeing.</w:t>
      </w:r>
      <w:r w:rsidRPr="0B4F051A" w:rsidR="00C85429">
        <w:rPr>
          <w:lang w:val="en-US"/>
        </w:rPr>
        <w:t> </w:t>
      </w:r>
      <w:r w:rsidRPr="0B4F051A" w:rsidR="00C1608D">
        <w:rPr>
          <w:lang w:val="en-GB"/>
        </w:rPr>
        <w:t>Above all, a</w:t>
      </w:r>
      <w:r w:rsidRPr="0B4F051A" w:rsidR="00C1608D">
        <w:rPr>
          <w:lang w:val="en-GB"/>
        </w:rPr>
        <w:t xml:space="preserve"> policy approach to empower people with digital skills and digital health literacy should be inclusive to form a true pathway to health equity.</w:t>
      </w:r>
      <w:r w:rsidRPr="0B4F051A" w:rsidR="00C1608D">
        <w:rPr>
          <w:lang w:val="en-US"/>
        </w:rPr>
        <w:t> </w:t>
      </w:r>
    </w:p>
    <w:sectPr w:rsidRPr="00C1608D" w:rsidR="00427E4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B4D4E"/>
    <w:multiLevelType w:val="multilevel"/>
    <w:tmpl w:val="E098A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D6940FF"/>
    <w:multiLevelType w:val="multilevel"/>
    <w:tmpl w:val="54128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49205416">
    <w:abstractNumId w:val="1"/>
  </w:num>
  <w:num w:numId="2" w16cid:durableId="14019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98"/>
    <w:rsid w:val="00007ACD"/>
    <w:rsid w:val="00427E4D"/>
    <w:rsid w:val="00855CB0"/>
    <w:rsid w:val="00873386"/>
    <w:rsid w:val="008E60E3"/>
    <w:rsid w:val="00C1608D"/>
    <w:rsid w:val="00C65298"/>
    <w:rsid w:val="00C85429"/>
    <w:rsid w:val="00D108E0"/>
    <w:rsid w:val="00DF76C6"/>
    <w:rsid w:val="00E48F85"/>
    <w:rsid w:val="0113116A"/>
    <w:rsid w:val="01318FFE"/>
    <w:rsid w:val="047B9F13"/>
    <w:rsid w:val="049BFE14"/>
    <w:rsid w:val="04BF3C79"/>
    <w:rsid w:val="05F63C71"/>
    <w:rsid w:val="061AC655"/>
    <w:rsid w:val="07E504F4"/>
    <w:rsid w:val="0B4F051A"/>
    <w:rsid w:val="0E4B6E61"/>
    <w:rsid w:val="0F8C2D9F"/>
    <w:rsid w:val="119C0725"/>
    <w:rsid w:val="1AF5DC67"/>
    <w:rsid w:val="1B563EB6"/>
    <w:rsid w:val="1D2A5687"/>
    <w:rsid w:val="1EDB2272"/>
    <w:rsid w:val="1F95CC42"/>
    <w:rsid w:val="23C9B3DF"/>
    <w:rsid w:val="24137BC5"/>
    <w:rsid w:val="24F88B25"/>
    <w:rsid w:val="2523CAC9"/>
    <w:rsid w:val="255072B0"/>
    <w:rsid w:val="2574D158"/>
    <w:rsid w:val="25B96A04"/>
    <w:rsid w:val="2792EE63"/>
    <w:rsid w:val="2B0B27AB"/>
    <w:rsid w:val="2DF725BB"/>
    <w:rsid w:val="2F00A334"/>
    <w:rsid w:val="2F89C782"/>
    <w:rsid w:val="3003895D"/>
    <w:rsid w:val="364D57B5"/>
    <w:rsid w:val="3978FDF3"/>
    <w:rsid w:val="4043CF4F"/>
    <w:rsid w:val="4173C84C"/>
    <w:rsid w:val="41FBD022"/>
    <w:rsid w:val="4259C00B"/>
    <w:rsid w:val="4315EDE9"/>
    <w:rsid w:val="446DC449"/>
    <w:rsid w:val="45262C29"/>
    <w:rsid w:val="472C1D34"/>
    <w:rsid w:val="47325D13"/>
    <w:rsid w:val="4955246D"/>
    <w:rsid w:val="4A3A1ED1"/>
    <w:rsid w:val="4A617B1C"/>
    <w:rsid w:val="4AF01188"/>
    <w:rsid w:val="4B0FB1CA"/>
    <w:rsid w:val="4C690453"/>
    <w:rsid w:val="4EB539B0"/>
    <w:rsid w:val="50503C7D"/>
    <w:rsid w:val="5093407D"/>
    <w:rsid w:val="50A8D86D"/>
    <w:rsid w:val="51467B59"/>
    <w:rsid w:val="51F73E84"/>
    <w:rsid w:val="571C8FD9"/>
    <w:rsid w:val="5949BEF3"/>
    <w:rsid w:val="61143FAA"/>
    <w:rsid w:val="624B4275"/>
    <w:rsid w:val="644CA17C"/>
    <w:rsid w:val="69232BA8"/>
    <w:rsid w:val="69297B4F"/>
    <w:rsid w:val="6C51551C"/>
    <w:rsid w:val="6D85D2FF"/>
    <w:rsid w:val="6DA0DF25"/>
    <w:rsid w:val="6E334D40"/>
    <w:rsid w:val="6E5EC824"/>
    <w:rsid w:val="6E5EF577"/>
    <w:rsid w:val="70224E09"/>
    <w:rsid w:val="70492FF2"/>
    <w:rsid w:val="72C79ADB"/>
    <w:rsid w:val="73E6D1A9"/>
    <w:rsid w:val="74FA938B"/>
    <w:rsid w:val="7593FB96"/>
    <w:rsid w:val="7B6F23B7"/>
    <w:rsid w:val="7CFEA796"/>
    <w:rsid w:val="7D05AB44"/>
    <w:rsid w:val="7EEC9F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3A1B"/>
  <w15:chartTrackingRefBased/>
  <w15:docId w15:val="{5FDE1508-021E-4968-A784-58C232DA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6529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29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2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2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2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29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529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6529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C6529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6529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6529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652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652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652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65298"/>
    <w:rPr>
      <w:rFonts w:eastAsiaTheme="majorEastAsia" w:cstheme="majorBidi"/>
      <w:color w:val="272727" w:themeColor="text1" w:themeTint="D8"/>
    </w:rPr>
  </w:style>
  <w:style w:type="paragraph" w:styleId="Title">
    <w:name w:val="Title"/>
    <w:basedOn w:val="Normal"/>
    <w:next w:val="Normal"/>
    <w:link w:val="TitleChar"/>
    <w:uiPriority w:val="10"/>
    <w:qFormat/>
    <w:rsid w:val="00C6529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652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6529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65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298"/>
    <w:pPr>
      <w:spacing w:before="160"/>
      <w:jc w:val="center"/>
    </w:pPr>
    <w:rPr>
      <w:i/>
      <w:iCs/>
      <w:color w:val="404040" w:themeColor="text1" w:themeTint="BF"/>
    </w:rPr>
  </w:style>
  <w:style w:type="character" w:styleId="QuoteChar" w:customStyle="1">
    <w:name w:val="Quote Char"/>
    <w:basedOn w:val="DefaultParagraphFont"/>
    <w:link w:val="Quote"/>
    <w:uiPriority w:val="29"/>
    <w:rsid w:val="00C65298"/>
    <w:rPr>
      <w:i/>
      <w:iCs/>
      <w:color w:val="404040" w:themeColor="text1" w:themeTint="BF"/>
    </w:rPr>
  </w:style>
  <w:style w:type="paragraph" w:styleId="ListParagraph">
    <w:name w:val="List Paragraph"/>
    <w:basedOn w:val="Normal"/>
    <w:uiPriority w:val="34"/>
    <w:qFormat/>
    <w:rsid w:val="00C65298"/>
    <w:pPr>
      <w:ind w:left="720"/>
      <w:contextualSpacing/>
    </w:pPr>
  </w:style>
  <w:style w:type="character" w:styleId="IntenseEmphasis">
    <w:name w:val="Intense Emphasis"/>
    <w:basedOn w:val="DefaultParagraphFont"/>
    <w:uiPriority w:val="21"/>
    <w:qFormat/>
    <w:rsid w:val="00C65298"/>
    <w:rPr>
      <w:i/>
      <w:iCs/>
      <w:color w:val="2F5496" w:themeColor="accent1" w:themeShade="BF"/>
    </w:rPr>
  </w:style>
  <w:style w:type="paragraph" w:styleId="IntenseQuote">
    <w:name w:val="Intense Quote"/>
    <w:basedOn w:val="Normal"/>
    <w:next w:val="Normal"/>
    <w:link w:val="IntenseQuoteChar"/>
    <w:uiPriority w:val="30"/>
    <w:qFormat/>
    <w:rsid w:val="00C6529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65298"/>
    <w:rPr>
      <w:i/>
      <w:iCs/>
      <w:color w:val="2F5496" w:themeColor="accent1" w:themeShade="BF"/>
    </w:rPr>
  </w:style>
  <w:style w:type="character" w:styleId="IntenseReference">
    <w:name w:val="Intense Reference"/>
    <w:basedOn w:val="DefaultParagraphFont"/>
    <w:uiPriority w:val="32"/>
    <w:qFormat/>
    <w:rsid w:val="00C65298"/>
    <w:rPr>
      <w:b/>
      <w:bCs/>
      <w:smallCaps/>
      <w:color w:val="2F5496" w:themeColor="accent1" w:themeShade="BF"/>
      <w:spacing w:val="5"/>
    </w:rPr>
  </w:style>
  <w:style w:type="character" w:styleId="Hyperlink">
    <w:name w:val="Hyperlink"/>
    <w:basedOn w:val="DefaultParagraphFont"/>
    <w:uiPriority w:val="99"/>
    <w:unhideWhenUsed/>
    <w:rsid w:val="00C85429"/>
    <w:rPr>
      <w:color w:val="0563C1" w:themeColor="hyperlink"/>
      <w:u w:val="single"/>
    </w:rPr>
  </w:style>
  <w:style w:type="character" w:styleId="UnresolvedMention">
    <w:name w:val="Unresolved Mention"/>
    <w:basedOn w:val="DefaultParagraphFont"/>
    <w:uiPriority w:val="99"/>
    <w:semiHidden/>
    <w:unhideWhenUsed/>
    <w:rsid w:val="00C8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3859">
      <w:bodyDiv w:val="1"/>
      <w:marLeft w:val="0"/>
      <w:marRight w:val="0"/>
      <w:marTop w:val="0"/>
      <w:marBottom w:val="0"/>
      <w:divBdr>
        <w:top w:val="none" w:sz="0" w:space="0" w:color="auto"/>
        <w:left w:val="none" w:sz="0" w:space="0" w:color="auto"/>
        <w:bottom w:val="none" w:sz="0" w:space="0" w:color="auto"/>
        <w:right w:val="none" w:sz="0" w:space="0" w:color="auto"/>
      </w:divBdr>
      <w:divsChild>
        <w:div w:id="179665676">
          <w:marLeft w:val="0"/>
          <w:marRight w:val="0"/>
          <w:marTop w:val="0"/>
          <w:marBottom w:val="0"/>
          <w:divBdr>
            <w:top w:val="none" w:sz="0" w:space="0" w:color="auto"/>
            <w:left w:val="none" w:sz="0" w:space="0" w:color="auto"/>
            <w:bottom w:val="none" w:sz="0" w:space="0" w:color="auto"/>
            <w:right w:val="none" w:sz="0" w:space="0" w:color="auto"/>
          </w:divBdr>
        </w:div>
        <w:div w:id="693534545">
          <w:marLeft w:val="0"/>
          <w:marRight w:val="0"/>
          <w:marTop w:val="0"/>
          <w:marBottom w:val="0"/>
          <w:divBdr>
            <w:top w:val="none" w:sz="0" w:space="0" w:color="auto"/>
            <w:left w:val="none" w:sz="0" w:space="0" w:color="auto"/>
            <w:bottom w:val="none" w:sz="0" w:space="0" w:color="auto"/>
            <w:right w:val="none" w:sz="0" w:space="0" w:color="auto"/>
          </w:divBdr>
        </w:div>
        <w:div w:id="2056851956">
          <w:marLeft w:val="0"/>
          <w:marRight w:val="0"/>
          <w:marTop w:val="0"/>
          <w:marBottom w:val="0"/>
          <w:divBdr>
            <w:top w:val="none" w:sz="0" w:space="0" w:color="auto"/>
            <w:left w:val="none" w:sz="0" w:space="0" w:color="auto"/>
            <w:bottom w:val="none" w:sz="0" w:space="0" w:color="auto"/>
            <w:right w:val="none" w:sz="0" w:space="0" w:color="auto"/>
          </w:divBdr>
        </w:div>
        <w:div w:id="2144495013">
          <w:marLeft w:val="0"/>
          <w:marRight w:val="0"/>
          <w:marTop w:val="0"/>
          <w:marBottom w:val="0"/>
          <w:divBdr>
            <w:top w:val="none" w:sz="0" w:space="0" w:color="auto"/>
            <w:left w:val="none" w:sz="0" w:space="0" w:color="auto"/>
            <w:bottom w:val="none" w:sz="0" w:space="0" w:color="auto"/>
            <w:right w:val="none" w:sz="0" w:space="0" w:color="auto"/>
          </w:divBdr>
        </w:div>
        <w:div w:id="2020425555">
          <w:marLeft w:val="0"/>
          <w:marRight w:val="0"/>
          <w:marTop w:val="0"/>
          <w:marBottom w:val="0"/>
          <w:divBdr>
            <w:top w:val="none" w:sz="0" w:space="0" w:color="auto"/>
            <w:left w:val="none" w:sz="0" w:space="0" w:color="auto"/>
            <w:bottom w:val="none" w:sz="0" w:space="0" w:color="auto"/>
            <w:right w:val="none" w:sz="0" w:space="0" w:color="auto"/>
          </w:divBdr>
        </w:div>
        <w:div w:id="1970210685">
          <w:marLeft w:val="0"/>
          <w:marRight w:val="0"/>
          <w:marTop w:val="0"/>
          <w:marBottom w:val="0"/>
          <w:divBdr>
            <w:top w:val="none" w:sz="0" w:space="0" w:color="auto"/>
            <w:left w:val="none" w:sz="0" w:space="0" w:color="auto"/>
            <w:bottom w:val="none" w:sz="0" w:space="0" w:color="auto"/>
            <w:right w:val="none" w:sz="0" w:space="0" w:color="auto"/>
          </w:divBdr>
        </w:div>
        <w:div w:id="1638993718">
          <w:marLeft w:val="0"/>
          <w:marRight w:val="0"/>
          <w:marTop w:val="0"/>
          <w:marBottom w:val="0"/>
          <w:divBdr>
            <w:top w:val="none" w:sz="0" w:space="0" w:color="auto"/>
            <w:left w:val="none" w:sz="0" w:space="0" w:color="auto"/>
            <w:bottom w:val="none" w:sz="0" w:space="0" w:color="auto"/>
            <w:right w:val="none" w:sz="0" w:space="0" w:color="auto"/>
          </w:divBdr>
        </w:div>
        <w:div w:id="362285924">
          <w:marLeft w:val="0"/>
          <w:marRight w:val="0"/>
          <w:marTop w:val="0"/>
          <w:marBottom w:val="0"/>
          <w:divBdr>
            <w:top w:val="none" w:sz="0" w:space="0" w:color="auto"/>
            <w:left w:val="none" w:sz="0" w:space="0" w:color="auto"/>
            <w:bottom w:val="none" w:sz="0" w:space="0" w:color="auto"/>
            <w:right w:val="none" w:sz="0" w:space="0" w:color="auto"/>
          </w:divBdr>
        </w:div>
        <w:div w:id="33237700">
          <w:marLeft w:val="0"/>
          <w:marRight w:val="0"/>
          <w:marTop w:val="0"/>
          <w:marBottom w:val="0"/>
          <w:divBdr>
            <w:top w:val="none" w:sz="0" w:space="0" w:color="auto"/>
            <w:left w:val="none" w:sz="0" w:space="0" w:color="auto"/>
            <w:bottom w:val="none" w:sz="0" w:space="0" w:color="auto"/>
            <w:right w:val="none" w:sz="0" w:space="0" w:color="auto"/>
          </w:divBdr>
        </w:div>
        <w:div w:id="1198549538">
          <w:marLeft w:val="0"/>
          <w:marRight w:val="0"/>
          <w:marTop w:val="0"/>
          <w:marBottom w:val="0"/>
          <w:divBdr>
            <w:top w:val="none" w:sz="0" w:space="0" w:color="auto"/>
            <w:left w:val="none" w:sz="0" w:space="0" w:color="auto"/>
            <w:bottom w:val="none" w:sz="0" w:space="0" w:color="auto"/>
            <w:right w:val="none" w:sz="0" w:space="0" w:color="auto"/>
          </w:divBdr>
        </w:div>
        <w:div w:id="1382363138">
          <w:marLeft w:val="0"/>
          <w:marRight w:val="0"/>
          <w:marTop w:val="0"/>
          <w:marBottom w:val="0"/>
          <w:divBdr>
            <w:top w:val="none" w:sz="0" w:space="0" w:color="auto"/>
            <w:left w:val="none" w:sz="0" w:space="0" w:color="auto"/>
            <w:bottom w:val="none" w:sz="0" w:space="0" w:color="auto"/>
            <w:right w:val="none" w:sz="0" w:space="0" w:color="auto"/>
          </w:divBdr>
        </w:div>
        <w:div w:id="1208179962">
          <w:marLeft w:val="0"/>
          <w:marRight w:val="0"/>
          <w:marTop w:val="0"/>
          <w:marBottom w:val="0"/>
          <w:divBdr>
            <w:top w:val="none" w:sz="0" w:space="0" w:color="auto"/>
            <w:left w:val="none" w:sz="0" w:space="0" w:color="auto"/>
            <w:bottom w:val="none" w:sz="0" w:space="0" w:color="auto"/>
            <w:right w:val="none" w:sz="0" w:space="0" w:color="auto"/>
          </w:divBdr>
        </w:div>
        <w:div w:id="2020152847">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317421817">
          <w:marLeft w:val="0"/>
          <w:marRight w:val="0"/>
          <w:marTop w:val="0"/>
          <w:marBottom w:val="0"/>
          <w:divBdr>
            <w:top w:val="none" w:sz="0" w:space="0" w:color="auto"/>
            <w:left w:val="none" w:sz="0" w:space="0" w:color="auto"/>
            <w:bottom w:val="none" w:sz="0" w:space="0" w:color="auto"/>
            <w:right w:val="none" w:sz="0" w:space="0" w:color="auto"/>
          </w:divBdr>
        </w:div>
      </w:divsChild>
    </w:div>
    <w:div w:id="897932518">
      <w:bodyDiv w:val="1"/>
      <w:marLeft w:val="0"/>
      <w:marRight w:val="0"/>
      <w:marTop w:val="0"/>
      <w:marBottom w:val="0"/>
      <w:divBdr>
        <w:top w:val="none" w:sz="0" w:space="0" w:color="auto"/>
        <w:left w:val="none" w:sz="0" w:space="0" w:color="auto"/>
        <w:bottom w:val="none" w:sz="0" w:space="0" w:color="auto"/>
        <w:right w:val="none" w:sz="0" w:space="0" w:color="auto"/>
      </w:divBdr>
      <w:divsChild>
        <w:div w:id="373576941">
          <w:marLeft w:val="0"/>
          <w:marRight w:val="0"/>
          <w:marTop w:val="0"/>
          <w:marBottom w:val="0"/>
          <w:divBdr>
            <w:top w:val="none" w:sz="0" w:space="0" w:color="auto"/>
            <w:left w:val="none" w:sz="0" w:space="0" w:color="auto"/>
            <w:bottom w:val="none" w:sz="0" w:space="0" w:color="auto"/>
            <w:right w:val="none" w:sz="0" w:space="0" w:color="auto"/>
          </w:divBdr>
        </w:div>
        <w:div w:id="908661777">
          <w:marLeft w:val="0"/>
          <w:marRight w:val="0"/>
          <w:marTop w:val="0"/>
          <w:marBottom w:val="0"/>
          <w:divBdr>
            <w:top w:val="none" w:sz="0" w:space="0" w:color="auto"/>
            <w:left w:val="none" w:sz="0" w:space="0" w:color="auto"/>
            <w:bottom w:val="none" w:sz="0" w:space="0" w:color="auto"/>
            <w:right w:val="none" w:sz="0" w:space="0" w:color="auto"/>
          </w:divBdr>
        </w:div>
        <w:div w:id="1402362303">
          <w:marLeft w:val="0"/>
          <w:marRight w:val="0"/>
          <w:marTop w:val="0"/>
          <w:marBottom w:val="0"/>
          <w:divBdr>
            <w:top w:val="none" w:sz="0" w:space="0" w:color="auto"/>
            <w:left w:val="none" w:sz="0" w:space="0" w:color="auto"/>
            <w:bottom w:val="none" w:sz="0" w:space="0" w:color="auto"/>
            <w:right w:val="none" w:sz="0" w:space="0" w:color="auto"/>
          </w:divBdr>
        </w:div>
        <w:div w:id="1834486999">
          <w:marLeft w:val="0"/>
          <w:marRight w:val="0"/>
          <w:marTop w:val="0"/>
          <w:marBottom w:val="0"/>
          <w:divBdr>
            <w:top w:val="none" w:sz="0" w:space="0" w:color="auto"/>
            <w:left w:val="none" w:sz="0" w:space="0" w:color="auto"/>
            <w:bottom w:val="none" w:sz="0" w:space="0" w:color="auto"/>
            <w:right w:val="none" w:sz="0" w:space="0" w:color="auto"/>
          </w:divBdr>
        </w:div>
        <w:div w:id="456071038">
          <w:marLeft w:val="0"/>
          <w:marRight w:val="0"/>
          <w:marTop w:val="0"/>
          <w:marBottom w:val="0"/>
          <w:divBdr>
            <w:top w:val="none" w:sz="0" w:space="0" w:color="auto"/>
            <w:left w:val="none" w:sz="0" w:space="0" w:color="auto"/>
            <w:bottom w:val="none" w:sz="0" w:space="0" w:color="auto"/>
            <w:right w:val="none" w:sz="0" w:space="0" w:color="auto"/>
          </w:divBdr>
        </w:div>
        <w:div w:id="1493329929">
          <w:marLeft w:val="0"/>
          <w:marRight w:val="0"/>
          <w:marTop w:val="0"/>
          <w:marBottom w:val="0"/>
          <w:divBdr>
            <w:top w:val="none" w:sz="0" w:space="0" w:color="auto"/>
            <w:left w:val="none" w:sz="0" w:space="0" w:color="auto"/>
            <w:bottom w:val="none" w:sz="0" w:space="0" w:color="auto"/>
            <w:right w:val="none" w:sz="0" w:space="0" w:color="auto"/>
          </w:divBdr>
        </w:div>
        <w:div w:id="1456024785">
          <w:marLeft w:val="0"/>
          <w:marRight w:val="0"/>
          <w:marTop w:val="0"/>
          <w:marBottom w:val="0"/>
          <w:divBdr>
            <w:top w:val="none" w:sz="0" w:space="0" w:color="auto"/>
            <w:left w:val="none" w:sz="0" w:space="0" w:color="auto"/>
            <w:bottom w:val="none" w:sz="0" w:space="0" w:color="auto"/>
            <w:right w:val="none" w:sz="0" w:space="0" w:color="auto"/>
          </w:divBdr>
        </w:div>
        <w:div w:id="1356731505">
          <w:marLeft w:val="0"/>
          <w:marRight w:val="0"/>
          <w:marTop w:val="0"/>
          <w:marBottom w:val="0"/>
          <w:divBdr>
            <w:top w:val="none" w:sz="0" w:space="0" w:color="auto"/>
            <w:left w:val="none" w:sz="0" w:space="0" w:color="auto"/>
            <w:bottom w:val="none" w:sz="0" w:space="0" w:color="auto"/>
            <w:right w:val="none" w:sz="0" w:space="0" w:color="auto"/>
          </w:divBdr>
        </w:div>
        <w:div w:id="861674142">
          <w:marLeft w:val="0"/>
          <w:marRight w:val="0"/>
          <w:marTop w:val="0"/>
          <w:marBottom w:val="0"/>
          <w:divBdr>
            <w:top w:val="none" w:sz="0" w:space="0" w:color="auto"/>
            <w:left w:val="none" w:sz="0" w:space="0" w:color="auto"/>
            <w:bottom w:val="none" w:sz="0" w:space="0" w:color="auto"/>
            <w:right w:val="none" w:sz="0" w:space="0" w:color="auto"/>
          </w:divBdr>
        </w:div>
        <w:div w:id="919944179">
          <w:marLeft w:val="0"/>
          <w:marRight w:val="0"/>
          <w:marTop w:val="0"/>
          <w:marBottom w:val="0"/>
          <w:divBdr>
            <w:top w:val="none" w:sz="0" w:space="0" w:color="auto"/>
            <w:left w:val="none" w:sz="0" w:space="0" w:color="auto"/>
            <w:bottom w:val="none" w:sz="0" w:space="0" w:color="auto"/>
            <w:right w:val="none" w:sz="0" w:space="0" w:color="auto"/>
          </w:divBdr>
        </w:div>
        <w:div w:id="1839882351">
          <w:marLeft w:val="0"/>
          <w:marRight w:val="0"/>
          <w:marTop w:val="0"/>
          <w:marBottom w:val="0"/>
          <w:divBdr>
            <w:top w:val="none" w:sz="0" w:space="0" w:color="auto"/>
            <w:left w:val="none" w:sz="0" w:space="0" w:color="auto"/>
            <w:bottom w:val="none" w:sz="0" w:space="0" w:color="auto"/>
            <w:right w:val="none" w:sz="0" w:space="0" w:color="auto"/>
          </w:divBdr>
        </w:div>
        <w:div w:id="900289958">
          <w:marLeft w:val="0"/>
          <w:marRight w:val="0"/>
          <w:marTop w:val="0"/>
          <w:marBottom w:val="0"/>
          <w:divBdr>
            <w:top w:val="none" w:sz="0" w:space="0" w:color="auto"/>
            <w:left w:val="none" w:sz="0" w:space="0" w:color="auto"/>
            <w:bottom w:val="none" w:sz="0" w:space="0" w:color="auto"/>
            <w:right w:val="none" w:sz="0" w:space="0" w:color="auto"/>
          </w:divBdr>
        </w:div>
        <w:div w:id="1473012569">
          <w:marLeft w:val="0"/>
          <w:marRight w:val="0"/>
          <w:marTop w:val="0"/>
          <w:marBottom w:val="0"/>
          <w:divBdr>
            <w:top w:val="none" w:sz="0" w:space="0" w:color="auto"/>
            <w:left w:val="none" w:sz="0" w:space="0" w:color="auto"/>
            <w:bottom w:val="none" w:sz="0" w:space="0" w:color="auto"/>
            <w:right w:val="none" w:sz="0" w:space="0" w:color="auto"/>
          </w:divBdr>
        </w:div>
        <w:div w:id="1671526041">
          <w:marLeft w:val="0"/>
          <w:marRight w:val="0"/>
          <w:marTop w:val="0"/>
          <w:marBottom w:val="0"/>
          <w:divBdr>
            <w:top w:val="none" w:sz="0" w:space="0" w:color="auto"/>
            <w:left w:val="none" w:sz="0" w:space="0" w:color="auto"/>
            <w:bottom w:val="none" w:sz="0" w:space="0" w:color="auto"/>
            <w:right w:val="none" w:sz="0" w:space="0" w:color="auto"/>
          </w:divBdr>
        </w:div>
        <w:div w:id="177794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sciencedirect.com/science/article/pii/S1386505623001429" TargetMode="External" Id="R187181d666724ad4" /><Relationship Type="http://schemas.openxmlformats.org/officeDocument/2006/relationships/hyperlink" Target="https://health.ec.europa.eu/ehealth-digital-health-and-care/european-health-data-space_en" TargetMode="External" Id="Re29c70b1fac049bb" /><Relationship Type="http://schemas.openxmlformats.org/officeDocument/2006/relationships/hyperlink" Target="https://digital-strategy.ec.europa.eu/en/library/2023-report-state-digital-decade" TargetMode="External" Id="R8bbdf4a92fb14d7c" /><Relationship Type="http://schemas.openxmlformats.org/officeDocument/2006/relationships/hyperlink" Target="https://digital-strategy.ec.europa.eu/en/library/2023-report-state-digital-decade" TargetMode="External" Id="R8cb991f672c54c7e" /><Relationship Type="http://schemas.openxmlformats.org/officeDocument/2006/relationships/hyperlink" Target="https://eur-lex.europa.eu/legal-content/EN/TXT/PDF/?uri=CELEX:52020DC0624" TargetMode="External" Id="R8fc994b122214031" /><Relationship Type="http://schemas.openxmlformats.org/officeDocument/2006/relationships/hyperlink" Target="https://ec.europa.eu/commission/presscorner/detail/en/IP_24_3602" TargetMode="External" Id="Re6f2dd49f09c4fff" /><Relationship Type="http://schemas.openxmlformats.org/officeDocument/2006/relationships/hyperlink" Target="https://www.who.int/andorra/publications/m/item/digital-health-in-the-who-european-region-the-ongoing-journey-to-commitment-and-transformation" TargetMode="External" Id="R923dbcd353e2494a" /><Relationship Type="http://schemas.openxmlformats.org/officeDocument/2006/relationships/hyperlink" Target="https://ec.europa.eu/eurostat/web/products-eurostat-news/-/ddn-20231215-3" TargetMode="External" Id="Rb832e60a56264c11" /><Relationship Type="http://schemas.openxmlformats.org/officeDocument/2006/relationships/hyperlink" Target="https://education.ec.europa.eu/focus-topics/digital-education/action-plan" TargetMode="External" Id="R2d6eee13901d41c9" /><Relationship Type="http://schemas.openxmlformats.org/officeDocument/2006/relationships/hyperlink" Target="https://eur-lex.europa.eu/legal-content/EN/TXT/PDF/?uri=OJ:C_202401115" TargetMode="External" Id="Rf74496a0f607470a" /><Relationship Type="http://schemas.openxmlformats.org/officeDocument/2006/relationships/hyperlink" Target="https://www.unicef.org/eu/media/2586/file/Digital%20technologies%20policy%20brief.pdf" TargetMode="External" Id="Rc9324542902a4196" /><Relationship Type="http://schemas.openxmlformats.org/officeDocument/2006/relationships/hyperlink" Target="https://www.ncbi.nlm.nih.gov/pmc/articles/PMC5358017/" TargetMode="External" Id="Rabaec2c3b4e64a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796a9-9bd8-4af1-907c-ea53d47bb73a" xsi:nil="true"/>
    <lcf76f155ced4ddcb4097134ff3c332f xmlns="86687892-dbd4-405d-ac29-0c87b8b4d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E8AE523B64FC49AC0890FA3FD7CDBB" ma:contentTypeVersion="18" ma:contentTypeDescription="Crear nuevo documento." ma:contentTypeScope="" ma:versionID="f065b6752d440428b1613b7e2c2d6799">
  <xsd:schema xmlns:xsd="http://www.w3.org/2001/XMLSchema" xmlns:xs="http://www.w3.org/2001/XMLSchema" xmlns:p="http://schemas.microsoft.com/office/2006/metadata/properties" xmlns:ns2="86687892-dbd4-405d-ac29-0c87b8b4d2d5" xmlns:ns3="797796a9-9bd8-4af1-907c-ea53d47bb73a" targetNamespace="http://schemas.microsoft.com/office/2006/metadata/properties" ma:root="true" ma:fieldsID="34568d284bbf94c8b62692cd9feece19" ns2:_="" ns3:_="">
    <xsd:import namespace="86687892-dbd4-405d-ac29-0c87b8b4d2d5"/>
    <xsd:import namespace="797796a9-9bd8-4af1-907c-ea53d47bb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7892-dbd4-405d-ac29-0c87b8b4d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932fc4-9cd2-45f2-8d14-c4d95685b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96a9-9bd8-4af1-907c-ea53d47bb73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8c1502-46c2-4a3b-a13d-6da02703635e}" ma:internalName="TaxCatchAll" ma:showField="CatchAllData" ma:web="797796a9-9bd8-4af1-907c-ea53d47bb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73D91-A41A-410F-98CD-31E5D9904A07}">
  <ds:schemaRefs>
    <ds:schemaRef ds:uri="http://schemas.microsoft.com/office/2006/metadata/properties"/>
    <ds:schemaRef ds:uri="http://schemas.microsoft.com/office/infopath/2007/PartnerControls"/>
    <ds:schemaRef ds:uri="797796a9-9bd8-4af1-907c-ea53d47bb73a"/>
    <ds:schemaRef ds:uri="86687892-dbd4-405d-ac29-0c87b8b4d2d5"/>
  </ds:schemaRefs>
</ds:datastoreItem>
</file>

<file path=customXml/itemProps2.xml><?xml version="1.0" encoding="utf-8"?>
<ds:datastoreItem xmlns:ds="http://schemas.openxmlformats.org/officeDocument/2006/customXml" ds:itemID="{CCE1066B-3289-42B2-9941-979082619229}">
  <ds:schemaRefs>
    <ds:schemaRef ds:uri="http://schemas.microsoft.com/sharepoint/v3/contenttype/forms"/>
  </ds:schemaRefs>
</ds:datastoreItem>
</file>

<file path=customXml/itemProps3.xml><?xml version="1.0" encoding="utf-8"?>
<ds:datastoreItem xmlns:ds="http://schemas.openxmlformats.org/officeDocument/2006/customXml" ds:itemID="{1DF52E5F-309A-40C9-98C6-13282272F0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Jaisalmer De Frutos Lucas</dc:creator>
  <keywords/>
  <dc:description/>
  <lastModifiedBy>Jaisalmer De Frutos Lucas</lastModifiedBy>
  <revision>12</revision>
  <dcterms:created xsi:type="dcterms:W3CDTF">2024-09-17T08:27:00.0000000Z</dcterms:created>
  <dcterms:modified xsi:type="dcterms:W3CDTF">2024-09-20T16:54:10.2435721Z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